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6D" w:rsidRPr="0010306F" w:rsidRDefault="00F52F6D" w:rsidP="00F52F6D">
      <w:pPr>
        <w:rPr>
          <w:rFonts w:ascii="Times New Roman" w:hAnsi="Times New Roman" w:cs="Times New Roman"/>
          <w:bCs/>
          <w:sz w:val="24"/>
          <w:szCs w:val="24"/>
        </w:rPr>
      </w:pPr>
      <w:r>
        <w:rPr>
          <w:rFonts w:ascii="Times New Roman" w:hAnsi="Times New Roman" w:cs="Times New Roman"/>
          <w:bCs/>
          <w:sz w:val="24"/>
          <w:szCs w:val="24"/>
        </w:rPr>
        <w:t>PPZ-NKA-FSJ-23-014/2014</w:t>
      </w:r>
    </w:p>
    <w:p w:rsidR="00F52F6D" w:rsidRPr="0010306F" w:rsidRDefault="00F52F6D" w:rsidP="00F52F6D">
      <w:pPr>
        <w:rPr>
          <w:rFonts w:ascii="Times New Roman" w:hAnsi="Times New Roman" w:cs="Times New Roman"/>
          <w:bCs/>
          <w:sz w:val="24"/>
          <w:szCs w:val="24"/>
        </w:rPr>
      </w:pPr>
      <w:r>
        <w:rPr>
          <w:noProof/>
          <w:lang w:val="sk-SK" w:eastAsia="sk-SK"/>
        </w:rPr>
        <w:drawing>
          <wp:anchor distT="0" distB="0" distL="114300" distR="114300" simplePos="0" relativeHeight="251659264" behindDoc="1" locked="0" layoutInCell="1" allowOverlap="1" wp14:anchorId="4C68C908" wp14:editId="6AF51DA8">
            <wp:simplePos x="0" y="0"/>
            <wp:positionH relativeFrom="column">
              <wp:posOffset>133350</wp:posOffset>
            </wp:positionH>
            <wp:positionV relativeFrom="paragraph">
              <wp:posOffset>402590</wp:posOffset>
            </wp:positionV>
            <wp:extent cx="5471160" cy="5695950"/>
            <wp:effectExtent l="0" t="0" r="0" b="0"/>
            <wp:wrapNone/>
            <wp:docPr id="8"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471160" cy="5695950"/>
                    </a:xfrm>
                    <a:prstGeom prst="rect">
                      <a:avLst/>
                    </a:prstGeom>
                    <a:noFill/>
                  </pic:spPr>
                </pic:pic>
              </a:graphicData>
            </a:graphic>
            <wp14:sizeRelH relativeFrom="page">
              <wp14:pctWidth>0</wp14:pctWidth>
            </wp14:sizeRelH>
            <wp14:sizeRelV relativeFrom="page">
              <wp14:pctHeight>0</wp14:pctHeight>
            </wp14:sizeRelV>
          </wp:anchor>
        </w:drawing>
      </w:r>
    </w:p>
    <w:p w:rsidR="00F52F6D" w:rsidRPr="0010306F" w:rsidRDefault="00F52F6D" w:rsidP="00F52F6D">
      <w:pPr>
        <w:tabs>
          <w:tab w:val="left" w:pos="6123"/>
        </w:tabs>
        <w:rPr>
          <w:rFonts w:ascii="Times New Roman" w:hAnsi="Times New Roman" w:cs="Times New Roman"/>
          <w:bCs/>
          <w:sz w:val="24"/>
          <w:szCs w:val="24"/>
        </w:rPr>
      </w:pPr>
    </w:p>
    <w:p w:rsidR="00F52F6D" w:rsidRPr="0010306F" w:rsidRDefault="00F52F6D" w:rsidP="00F52F6D">
      <w:pPr>
        <w:rPr>
          <w:rFonts w:ascii="Times New Roman" w:hAnsi="Times New Roman" w:cs="Times New Roman"/>
          <w:bCs/>
          <w:sz w:val="24"/>
          <w:szCs w:val="24"/>
        </w:rPr>
      </w:pPr>
    </w:p>
    <w:p w:rsidR="00F52F6D" w:rsidRPr="0010306F" w:rsidRDefault="00F52F6D" w:rsidP="00F52F6D">
      <w:pPr>
        <w:rPr>
          <w:rFonts w:ascii="Times New Roman" w:hAnsi="Times New Roman" w:cs="Times New Roman"/>
          <w:bCs/>
          <w:sz w:val="24"/>
          <w:szCs w:val="24"/>
        </w:rPr>
      </w:pPr>
    </w:p>
    <w:p w:rsidR="00F52F6D" w:rsidRPr="0010306F" w:rsidRDefault="00F52F6D" w:rsidP="00F52F6D">
      <w:pPr>
        <w:rPr>
          <w:rFonts w:ascii="Times New Roman" w:hAnsi="Times New Roman" w:cs="Times New Roman"/>
          <w:bCs/>
          <w:sz w:val="24"/>
          <w:szCs w:val="24"/>
        </w:rPr>
      </w:pPr>
    </w:p>
    <w:p w:rsidR="00F52F6D" w:rsidRPr="0010306F" w:rsidRDefault="00F52F6D" w:rsidP="00F52F6D">
      <w:pPr>
        <w:rPr>
          <w:rFonts w:ascii="Times New Roman" w:hAnsi="Times New Roman" w:cs="Times New Roman"/>
          <w:bCs/>
          <w:sz w:val="24"/>
          <w:szCs w:val="24"/>
        </w:rPr>
      </w:pPr>
    </w:p>
    <w:p w:rsidR="00F52F6D" w:rsidRPr="0010306F" w:rsidRDefault="00F52F6D" w:rsidP="00F52F6D">
      <w:pPr>
        <w:rPr>
          <w:rFonts w:ascii="Times New Roman" w:hAnsi="Times New Roman" w:cs="Times New Roman"/>
          <w:bCs/>
          <w:sz w:val="24"/>
          <w:szCs w:val="24"/>
        </w:rPr>
      </w:pPr>
    </w:p>
    <w:p w:rsidR="00F52F6D" w:rsidRPr="0010306F" w:rsidRDefault="00F52F6D" w:rsidP="00F52F6D">
      <w:pPr>
        <w:rPr>
          <w:rFonts w:ascii="Times New Roman" w:hAnsi="Times New Roman" w:cs="Times New Roman"/>
          <w:bCs/>
          <w:sz w:val="24"/>
          <w:szCs w:val="24"/>
        </w:rPr>
      </w:pPr>
    </w:p>
    <w:p w:rsidR="00F52F6D" w:rsidRPr="003273C2" w:rsidRDefault="00F52F6D" w:rsidP="00F52F6D">
      <w:pPr>
        <w:ind w:firstLine="708"/>
        <w:jc w:val="center"/>
        <w:rPr>
          <w:rFonts w:ascii="Times New Roman" w:hAnsi="Times New Roman" w:cs="Times New Roman"/>
          <w:b/>
          <w:bCs/>
          <w:sz w:val="52"/>
          <w:szCs w:val="52"/>
        </w:rPr>
      </w:pPr>
      <w:r>
        <w:rPr>
          <w:rFonts w:ascii="Times New Roman" w:hAnsi="Times New Roman" w:cs="Times New Roman"/>
          <w:b/>
          <w:bCs/>
          <w:sz w:val="52"/>
          <w:szCs w:val="52"/>
        </w:rPr>
        <w:t>Annual Report</w:t>
      </w:r>
    </w:p>
    <w:p w:rsidR="00F52F6D" w:rsidRDefault="00F52F6D" w:rsidP="00F52F6D">
      <w:pPr>
        <w:ind w:firstLine="708"/>
        <w:jc w:val="center"/>
        <w:rPr>
          <w:rFonts w:ascii="Times New Roman" w:hAnsi="Times New Roman" w:cs="Times New Roman"/>
          <w:b/>
          <w:bCs/>
          <w:sz w:val="40"/>
          <w:szCs w:val="40"/>
        </w:rPr>
      </w:pPr>
      <w:r>
        <w:rPr>
          <w:rFonts w:ascii="Times New Roman" w:hAnsi="Times New Roman" w:cs="Times New Roman"/>
          <w:b/>
          <w:bCs/>
          <w:sz w:val="40"/>
          <w:szCs w:val="40"/>
        </w:rPr>
        <w:t>Financial Intelligence Unit</w:t>
      </w:r>
    </w:p>
    <w:p w:rsidR="00F52F6D" w:rsidRPr="00380837" w:rsidRDefault="00F52F6D" w:rsidP="00F52F6D">
      <w:pPr>
        <w:ind w:firstLine="708"/>
        <w:jc w:val="center"/>
        <w:rPr>
          <w:rFonts w:ascii="Times New Roman" w:hAnsi="Times New Roman" w:cs="Times New Roman"/>
          <w:b/>
          <w:bCs/>
          <w:sz w:val="40"/>
          <w:szCs w:val="40"/>
        </w:rPr>
      </w:pPr>
      <w:r w:rsidRPr="00380837">
        <w:rPr>
          <w:rFonts w:ascii="Times New Roman" w:hAnsi="Times New Roman" w:cs="Times New Roman"/>
          <w:b/>
          <w:bCs/>
          <w:sz w:val="40"/>
          <w:szCs w:val="40"/>
        </w:rPr>
        <w:t>2013</w:t>
      </w:r>
    </w:p>
    <w:p w:rsidR="00F52F6D" w:rsidRPr="0010306F" w:rsidRDefault="00F52F6D" w:rsidP="00F52F6D">
      <w:pPr>
        <w:spacing w:after="120"/>
        <w:rPr>
          <w:rFonts w:ascii="Times New Roman" w:hAnsi="Times New Roman" w:cs="Times New Roman"/>
          <w:bCs/>
          <w:sz w:val="24"/>
          <w:szCs w:val="24"/>
        </w:rPr>
      </w:pPr>
    </w:p>
    <w:p w:rsidR="00F52F6D" w:rsidRPr="0010306F" w:rsidRDefault="00F52F6D" w:rsidP="00F52F6D">
      <w:pPr>
        <w:spacing w:after="120"/>
        <w:rPr>
          <w:rFonts w:ascii="Times New Roman" w:hAnsi="Times New Roman" w:cs="Times New Roman"/>
          <w:bCs/>
          <w:sz w:val="24"/>
          <w:szCs w:val="24"/>
        </w:rPr>
      </w:pPr>
    </w:p>
    <w:p w:rsidR="00F52F6D" w:rsidRPr="0010306F" w:rsidRDefault="00F52F6D" w:rsidP="00F52F6D">
      <w:pPr>
        <w:spacing w:after="120"/>
        <w:rPr>
          <w:rFonts w:ascii="Times New Roman" w:hAnsi="Times New Roman" w:cs="Times New Roman"/>
          <w:bCs/>
          <w:sz w:val="24"/>
          <w:szCs w:val="24"/>
        </w:rPr>
      </w:pPr>
    </w:p>
    <w:p w:rsidR="00F52F6D" w:rsidRPr="0010306F" w:rsidRDefault="00F52F6D" w:rsidP="00F52F6D">
      <w:pPr>
        <w:spacing w:after="120"/>
        <w:rPr>
          <w:rFonts w:ascii="Times New Roman" w:hAnsi="Times New Roman" w:cs="Times New Roman"/>
          <w:bCs/>
          <w:sz w:val="24"/>
          <w:szCs w:val="24"/>
        </w:rPr>
      </w:pPr>
    </w:p>
    <w:p w:rsidR="00F52F6D" w:rsidRPr="0010306F" w:rsidRDefault="00F52F6D" w:rsidP="00F52F6D">
      <w:pPr>
        <w:spacing w:after="120"/>
        <w:rPr>
          <w:rFonts w:ascii="Times New Roman" w:hAnsi="Times New Roman" w:cs="Times New Roman"/>
          <w:bCs/>
          <w:sz w:val="24"/>
          <w:szCs w:val="24"/>
        </w:rPr>
      </w:pPr>
    </w:p>
    <w:p w:rsidR="00F52F6D" w:rsidRDefault="00F52F6D" w:rsidP="00943284">
      <w:pPr>
        <w:spacing w:after="120"/>
        <w:rPr>
          <w:rFonts w:ascii="Times New Roman" w:hAnsi="Times New Roman" w:cs="Times New Roman"/>
          <w:b/>
          <w:bCs/>
          <w:sz w:val="24"/>
          <w:szCs w:val="24"/>
          <w:u w:val="single"/>
        </w:rPr>
      </w:pPr>
    </w:p>
    <w:p w:rsidR="00F52F6D" w:rsidRDefault="00F52F6D" w:rsidP="00943284">
      <w:pPr>
        <w:spacing w:after="120"/>
        <w:rPr>
          <w:rFonts w:ascii="Times New Roman" w:hAnsi="Times New Roman" w:cs="Times New Roman"/>
          <w:b/>
          <w:bCs/>
          <w:sz w:val="24"/>
          <w:szCs w:val="24"/>
          <w:u w:val="single"/>
        </w:rPr>
      </w:pPr>
    </w:p>
    <w:p w:rsidR="00F52F6D" w:rsidRDefault="00F52F6D" w:rsidP="00943284">
      <w:pPr>
        <w:spacing w:after="120"/>
        <w:rPr>
          <w:rFonts w:ascii="Times New Roman" w:hAnsi="Times New Roman" w:cs="Times New Roman"/>
          <w:b/>
          <w:bCs/>
          <w:sz w:val="24"/>
          <w:szCs w:val="24"/>
          <w:u w:val="single"/>
        </w:rPr>
      </w:pPr>
    </w:p>
    <w:p w:rsidR="00F52F6D" w:rsidRDefault="00F52F6D" w:rsidP="00943284">
      <w:pPr>
        <w:spacing w:after="120"/>
        <w:rPr>
          <w:rFonts w:ascii="Times New Roman" w:hAnsi="Times New Roman" w:cs="Times New Roman"/>
          <w:b/>
          <w:bCs/>
          <w:sz w:val="24"/>
          <w:szCs w:val="24"/>
          <w:u w:val="single"/>
        </w:rPr>
      </w:pPr>
    </w:p>
    <w:p w:rsidR="00F52F6D" w:rsidRDefault="00F52F6D" w:rsidP="00943284">
      <w:pPr>
        <w:spacing w:after="120"/>
        <w:rPr>
          <w:rFonts w:ascii="Times New Roman" w:hAnsi="Times New Roman" w:cs="Times New Roman"/>
          <w:b/>
          <w:bCs/>
          <w:sz w:val="24"/>
          <w:szCs w:val="24"/>
          <w:u w:val="single"/>
        </w:rPr>
      </w:pPr>
    </w:p>
    <w:p w:rsidR="00943284" w:rsidRPr="00943284" w:rsidRDefault="00943284" w:rsidP="00943284">
      <w:pPr>
        <w:spacing w:after="120"/>
        <w:rPr>
          <w:rFonts w:ascii="Times New Roman" w:hAnsi="Times New Roman" w:cs="Times New Roman"/>
          <w:b/>
          <w:bCs/>
          <w:sz w:val="24"/>
          <w:szCs w:val="24"/>
          <w:u w:val="single"/>
        </w:rPr>
      </w:pPr>
      <w:r w:rsidRPr="00943284">
        <w:rPr>
          <w:rFonts w:ascii="Times New Roman" w:hAnsi="Times New Roman" w:cs="Times New Roman"/>
          <w:b/>
          <w:bCs/>
          <w:sz w:val="24"/>
          <w:szCs w:val="24"/>
          <w:u w:val="single"/>
        </w:rPr>
        <w:t>Submitter:</w:t>
      </w:r>
      <w:r w:rsidRPr="00943284">
        <w:rPr>
          <w:rFonts w:ascii="Times New Roman" w:hAnsi="Times New Roman" w:cs="Times New Roman"/>
          <w:b/>
          <w:bCs/>
          <w:sz w:val="24"/>
          <w:szCs w:val="24"/>
        </w:rPr>
        <w:tab/>
      </w:r>
      <w:r w:rsidRPr="00943284">
        <w:rPr>
          <w:rFonts w:ascii="Times New Roman" w:hAnsi="Times New Roman" w:cs="Times New Roman"/>
          <w:b/>
          <w:bCs/>
          <w:sz w:val="24"/>
          <w:szCs w:val="24"/>
        </w:rPr>
        <w:tab/>
      </w:r>
      <w:r w:rsidRPr="00943284">
        <w:rPr>
          <w:rFonts w:ascii="Times New Roman" w:hAnsi="Times New Roman" w:cs="Times New Roman"/>
          <w:b/>
          <w:bCs/>
          <w:sz w:val="24"/>
          <w:szCs w:val="24"/>
        </w:rPr>
        <w:tab/>
      </w:r>
      <w:r w:rsidRPr="00943284">
        <w:rPr>
          <w:rFonts w:ascii="Times New Roman" w:hAnsi="Times New Roman" w:cs="Times New Roman"/>
          <w:b/>
          <w:bCs/>
          <w:sz w:val="24"/>
          <w:szCs w:val="24"/>
        </w:rPr>
        <w:tab/>
      </w:r>
      <w:r w:rsidRPr="00943284">
        <w:rPr>
          <w:rFonts w:ascii="Times New Roman" w:hAnsi="Times New Roman" w:cs="Times New Roman"/>
          <w:b/>
          <w:bCs/>
          <w:sz w:val="24"/>
          <w:szCs w:val="24"/>
        </w:rPr>
        <w:tab/>
      </w:r>
      <w:r w:rsidRPr="00943284">
        <w:rPr>
          <w:rFonts w:ascii="Times New Roman" w:hAnsi="Times New Roman" w:cs="Times New Roman"/>
          <w:b/>
          <w:bCs/>
          <w:sz w:val="24"/>
          <w:szCs w:val="24"/>
        </w:rPr>
        <w:tab/>
      </w:r>
      <w:r w:rsidRPr="00943284">
        <w:rPr>
          <w:rFonts w:ascii="Times New Roman" w:hAnsi="Times New Roman" w:cs="Times New Roman"/>
          <w:b/>
          <w:bCs/>
          <w:sz w:val="24"/>
          <w:szCs w:val="24"/>
          <w:u w:val="single"/>
        </w:rPr>
        <w:t>Contains:</w:t>
      </w:r>
    </w:p>
    <w:p w:rsidR="00943284" w:rsidRPr="00943284" w:rsidRDefault="00943284" w:rsidP="00943284">
      <w:pPr>
        <w:spacing w:after="120"/>
        <w:rPr>
          <w:rFonts w:ascii="Times New Roman" w:hAnsi="Times New Roman" w:cs="Times New Roman"/>
          <w:b/>
          <w:bCs/>
          <w:sz w:val="24"/>
          <w:szCs w:val="24"/>
        </w:rPr>
      </w:pPr>
      <w:r w:rsidRPr="00943284">
        <w:rPr>
          <w:rFonts w:ascii="Times New Roman" w:hAnsi="Times New Roman" w:cs="Times New Roman"/>
          <w:b/>
          <w:bCs/>
          <w:sz w:val="24"/>
          <w:szCs w:val="24"/>
        </w:rPr>
        <w:t>plk. Mgr. Ján Rapavý</w:t>
      </w:r>
      <w:r w:rsidRPr="00943284">
        <w:rPr>
          <w:rFonts w:ascii="Times New Roman" w:hAnsi="Times New Roman" w:cs="Times New Roman"/>
          <w:b/>
          <w:bCs/>
          <w:sz w:val="24"/>
          <w:szCs w:val="24"/>
        </w:rPr>
        <w:tab/>
      </w:r>
      <w:r w:rsidRPr="00943284">
        <w:rPr>
          <w:rFonts w:ascii="Times New Roman" w:hAnsi="Times New Roman" w:cs="Times New Roman"/>
          <w:b/>
          <w:bCs/>
          <w:sz w:val="24"/>
          <w:szCs w:val="24"/>
        </w:rPr>
        <w:tab/>
      </w:r>
      <w:r w:rsidRPr="00943284">
        <w:rPr>
          <w:rFonts w:ascii="Times New Roman" w:hAnsi="Times New Roman" w:cs="Times New Roman"/>
          <w:b/>
          <w:bCs/>
          <w:sz w:val="24"/>
          <w:szCs w:val="24"/>
        </w:rPr>
        <w:tab/>
      </w:r>
      <w:r w:rsidRPr="00943284">
        <w:rPr>
          <w:rFonts w:ascii="Times New Roman" w:hAnsi="Times New Roman" w:cs="Times New Roman"/>
          <w:b/>
          <w:bCs/>
          <w:sz w:val="24"/>
          <w:szCs w:val="24"/>
        </w:rPr>
        <w:tab/>
        <w:t xml:space="preserve">information concerning </w:t>
      </w:r>
    </w:p>
    <w:p w:rsidR="00943284" w:rsidRPr="00943284" w:rsidRDefault="00943284" w:rsidP="00943284">
      <w:pPr>
        <w:spacing w:after="120"/>
        <w:rPr>
          <w:rFonts w:ascii="Times New Roman" w:hAnsi="Times New Roman" w:cs="Times New Roman"/>
          <w:b/>
          <w:bCs/>
          <w:sz w:val="24"/>
          <w:szCs w:val="24"/>
        </w:rPr>
      </w:pPr>
      <w:r w:rsidRPr="00943284">
        <w:rPr>
          <w:rFonts w:ascii="Times New Roman" w:hAnsi="Times New Roman" w:cs="Times New Roman"/>
          <w:b/>
          <w:bCs/>
          <w:sz w:val="24"/>
          <w:szCs w:val="24"/>
        </w:rPr>
        <w:t>Head</w:t>
      </w:r>
      <w:r w:rsidRPr="00943284">
        <w:rPr>
          <w:rFonts w:ascii="Times New Roman" w:hAnsi="Times New Roman" w:cs="Times New Roman"/>
          <w:b/>
          <w:bCs/>
          <w:sz w:val="24"/>
          <w:szCs w:val="24"/>
        </w:rPr>
        <w:tab/>
      </w:r>
      <w:r w:rsidRPr="00943284">
        <w:rPr>
          <w:rFonts w:ascii="Times New Roman" w:hAnsi="Times New Roman" w:cs="Times New Roman"/>
          <w:b/>
          <w:bCs/>
          <w:sz w:val="24"/>
          <w:szCs w:val="24"/>
        </w:rPr>
        <w:tab/>
      </w:r>
      <w:r w:rsidRPr="00943284">
        <w:rPr>
          <w:rFonts w:ascii="Times New Roman" w:hAnsi="Times New Roman" w:cs="Times New Roman"/>
          <w:b/>
          <w:bCs/>
          <w:sz w:val="24"/>
          <w:szCs w:val="24"/>
        </w:rPr>
        <w:tab/>
      </w:r>
      <w:r w:rsidRPr="00943284">
        <w:rPr>
          <w:rFonts w:ascii="Times New Roman" w:hAnsi="Times New Roman" w:cs="Times New Roman"/>
          <w:b/>
          <w:bCs/>
          <w:sz w:val="24"/>
          <w:szCs w:val="24"/>
        </w:rPr>
        <w:tab/>
      </w:r>
      <w:r w:rsidRPr="00943284">
        <w:rPr>
          <w:rFonts w:ascii="Times New Roman" w:hAnsi="Times New Roman" w:cs="Times New Roman"/>
          <w:b/>
          <w:bCs/>
          <w:sz w:val="24"/>
          <w:szCs w:val="24"/>
        </w:rPr>
        <w:tab/>
      </w:r>
      <w:r w:rsidRPr="00943284">
        <w:rPr>
          <w:rFonts w:ascii="Times New Roman" w:hAnsi="Times New Roman" w:cs="Times New Roman"/>
          <w:b/>
          <w:bCs/>
          <w:sz w:val="24"/>
          <w:szCs w:val="24"/>
        </w:rPr>
        <w:tab/>
      </w:r>
      <w:r w:rsidRPr="00943284">
        <w:rPr>
          <w:rFonts w:ascii="Times New Roman" w:hAnsi="Times New Roman" w:cs="Times New Roman"/>
          <w:b/>
          <w:bCs/>
          <w:sz w:val="24"/>
          <w:szCs w:val="24"/>
        </w:rPr>
        <w:tab/>
        <w:t xml:space="preserve">FSJ activities and results </w:t>
      </w:r>
    </w:p>
    <w:p w:rsidR="00943284" w:rsidRPr="00943284" w:rsidRDefault="00943284" w:rsidP="00943284">
      <w:pPr>
        <w:spacing w:after="120"/>
        <w:rPr>
          <w:rFonts w:ascii="Times New Roman" w:hAnsi="Times New Roman" w:cs="Times New Roman"/>
          <w:bCs/>
          <w:sz w:val="24"/>
          <w:szCs w:val="24"/>
        </w:rPr>
      </w:pPr>
    </w:p>
    <w:p w:rsidR="00943284" w:rsidRPr="00943284" w:rsidRDefault="00943284" w:rsidP="00943284">
      <w:pPr>
        <w:rPr>
          <w:rFonts w:ascii="Times New Roman" w:hAnsi="Times New Roman" w:cs="Times New Roman"/>
          <w:b/>
          <w:bCs/>
          <w:sz w:val="28"/>
          <w:szCs w:val="28"/>
        </w:rPr>
      </w:pPr>
      <w:r w:rsidRPr="00943284">
        <w:rPr>
          <w:rFonts w:ascii="Times New Roman" w:hAnsi="Times New Roman" w:cs="Times New Roman"/>
          <w:b/>
          <w:bCs/>
          <w:sz w:val="28"/>
          <w:szCs w:val="28"/>
        </w:rPr>
        <w:lastRenderedPageBreak/>
        <w:t>Table of contents</w:t>
      </w:r>
    </w:p>
    <w:p w:rsidR="00943284" w:rsidRPr="00943284" w:rsidRDefault="00943284" w:rsidP="00943284">
      <w:pPr>
        <w:rPr>
          <w:rFonts w:ascii="Times New Roman" w:hAnsi="Times New Roman" w:cs="Times New Roman"/>
          <w:bCs/>
          <w:sz w:val="24"/>
          <w:szCs w:val="24"/>
        </w:rPr>
      </w:pPr>
    </w:p>
    <w:p w:rsidR="00943284" w:rsidRPr="00943284" w:rsidRDefault="00943284" w:rsidP="00943284">
      <w:pPr>
        <w:pStyle w:val="Obsah1"/>
        <w:tabs>
          <w:tab w:val="right" w:leader="dot" w:pos="9060"/>
        </w:tabs>
        <w:rPr>
          <w:rFonts w:ascii="Times New Roman" w:eastAsia="Times New Roman" w:hAnsi="Times New Roman" w:cs="Times New Roman"/>
          <w:b/>
          <w:noProof/>
          <w:lang w:eastAsia="sk-SK"/>
        </w:rPr>
      </w:pPr>
      <w:r w:rsidRPr="00943284">
        <w:rPr>
          <w:rFonts w:ascii="Times New Roman" w:hAnsi="Times New Roman" w:cs="Times New Roman"/>
          <w:b/>
          <w:sz w:val="24"/>
          <w:szCs w:val="24"/>
        </w:rPr>
        <w:fldChar w:fldCharType="begin"/>
      </w:r>
      <w:r w:rsidRPr="00943284">
        <w:rPr>
          <w:rFonts w:ascii="Times New Roman" w:hAnsi="Times New Roman" w:cs="Times New Roman"/>
          <w:b/>
          <w:sz w:val="24"/>
          <w:szCs w:val="24"/>
        </w:rPr>
        <w:instrText xml:space="preserve"> TOC \o "1-3" \h \z \u </w:instrText>
      </w:r>
      <w:r w:rsidRPr="00943284">
        <w:rPr>
          <w:rFonts w:ascii="Times New Roman" w:hAnsi="Times New Roman" w:cs="Times New Roman"/>
          <w:b/>
          <w:sz w:val="24"/>
          <w:szCs w:val="24"/>
        </w:rPr>
        <w:fldChar w:fldCharType="separate"/>
      </w:r>
      <w:hyperlink w:anchor="_Toc382141679" w:history="1">
        <w:r w:rsidRPr="00943284">
          <w:rPr>
            <w:rStyle w:val="Hypertextovprepojenie"/>
            <w:rFonts w:ascii="Times New Roman" w:hAnsi="Times New Roman" w:cs="Times New Roman"/>
            <w:b/>
            <w:noProof/>
          </w:rPr>
          <w:t>Foreword</w:t>
        </w:r>
        <w:r w:rsidRPr="00943284">
          <w:rPr>
            <w:rFonts w:ascii="Times New Roman" w:hAnsi="Times New Roman" w:cs="Times New Roman"/>
            <w:b/>
            <w:noProof/>
            <w:webHidden/>
          </w:rPr>
          <w:tab/>
        </w:r>
        <w:r w:rsidRPr="00943284">
          <w:rPr>
            <w:rFonts w:ascii="Times New Roman" w:hAnsi="Times New Roman" w:cs="Times New Roman"/>
            <w:b/>
            <w:noProof/>
            <w:webHidden/>
          </w:rPr>
          <w:fldChar w:fldCharType="begin"/>
        </w:r>
        <w:r w:rsidRPr="00943284">
          <w:rPr>
            <w:rFonts w:ascii="Times New Roman" w:hAnsi="Times New Roman" w:cs="Times New Roman"/>
            <w:b/>
            <w:noProof/>
            <w:webHidden/>
          </w:rPr>
          <w:instrText xml:space="preserve"> PAGEREF _Toc382141679 \h </w:instrText>
        </w:r>
        <w:r w:rsidRPr="00943284">
          <w:rPr>
            <w:rFonts w:ascii="Times New Roman" w:hAnsi="Times New Roman" w:cs="Times New Roman"/>
            <w:b/>
            <w:noProof/>
            <w:webHidden/>
          </w:rPr>
        </w:r>
        <w:r w:rsidRPr="00943284">
          <w:rPr>
            <w:rFonts w:ascii="Times New Roman" w:hAnsi="Times New Roman" w:cs="Times New Roman"/>
            <w:b/>
            <w:noProof/>
            <w:webHidden/>
          </w:rPr>
          <w:fldChar w:fldCharType="separate"/>
        </w:r>
        <w:r w:rsidR="00D46154">
          <w:rPr>
            <w:rFonts w:ascii="Times New Roman" w:hAnsi="Times New Roman" w:cs="Times New Roman"/>
            <w:b/>
            <w:bCs/>
            <w:noProof/>
            <w:webHidden/>
          </w:rPr>
          <w:t>3</w:t>
        </w:r>
        <w:r w:rsidRPr="00943284">
          <w:rPr>
            <w:rFonts w:ascii="Times New Roman" w:hAnsi="Times New Roman" w:cs="Times New Roman"/>
            <w:b/>
            <w:noProof/>
            <w:webHidden/>
          </w:rPr>
          <w:fldChar w:fldCharType="end"/>
        </w:r>
      </w:hyperlink>
    </w:p>
    <w:p w:rsidR="00943284" w:rsidRPr="00943284" w:rsidRDefault="00CB5222" w:rsidP="00943284">
      <w:pPr>
        <w:pStyle w:val="Obsah1"/>
        <w:tabs>
          <w:tab w:val="right" w:leader="dot" w:pos="9060"/>
        </w:tabs>
        <w:rPr>
          <w:rFonts w:ascii="Times New Roman" w:eastAsia="Times New Roman" w:hAnsi="Times New Roman" w:cs="Times New Roman"/>
          <w:b/>
          <w:noProof/>
          <w:lang w:eastAsia="sk-SK"/>
        </w:rPr>
      </w:pPr>
      <w:hyperlink w:anchor="_Toc382141680" w:history="1">
        <w:r w:rsidR="0024115F">
          <w:rPr>
            <w:rStyle w:val="Hypertextovprepojenie"/>
            <w:rFonts w:ascii="Times New Roman" w:hAnsi="Times New Roman" w:cs="Times New Roman"/>
            <w:b/>
            <w:noProof/>
          </w:rPr>
          <w:t>1. What is FSJ and what i</w:t>
        </w:r>
        <w:r w:rsidR="00943284" w:rsidRPr="00943284">
          <w:rPr>
            <w:rStyle w:val="Hypertextovprepojenie"/>
            <w:rFonts w:ascii="Times New Roman" w:hAnsi="Times New Roman" w:cs="Times New Roman"/>
            <w:b/>
            <w:noProof/>
          </w:rPr>
          <w:t>s its legislative framework?</w:t>
        </w:r>
        <w:r w:rsidR="00943284" w:rsidRPr="00943284">
          <w:rPr>
            <w:rFonts w:ascii="Times New Roman" w:hAnsi="Times New Roman" w:cs="Times New Roman"/>
            <w:b/>
            <w:noProof/>
            <w:webHidden/>
          </w:rPr>
          <w:tab/>
        </w:r>
        <w:r w:rsidR="00943284" w:rsidRPr="00943284">
          <w:rPr>
            <w:rFonts w:ascii="Times New Roman" w:hAnsi="Times New Roman" w:cs="Times New Roman"/>
            <w:b/>
            <w:noProof/>
            <w:webHidden/>
          </w:rPr>
          <w:fldChar w:fldCharType="begin"/>
        </w:r>
        <w:r w:rsidR="00943284" w:rsidRPr="00943284">
          <w:rPr>
            <w:rFonts w:ascii="Times New Roman" w:hAnsi="Times New Roman" w:cs="Times New Roman"/>
            <w:b/>
            <w:noProof/>
            <w:webHidden/>
          </w:rPr>
          <w:instrText xml:space="preserve"> PAGEREF _Toc382141680 \h </w:instrText>
        </w:r>
        <w:r w:rsidR="00943284" w:rsidRPr="00943284">
          <w:rPr>
            <w:rFonts w:ascii="Times New Roman" w:hAnsi="Times New Roman" w:cs="Times New Roman"/>
            <w:b/>
            <w:noProof/>
            <w:webHidden/>
          </w:rPr>
        </w:r>
        <w:r w:rsidR="00943284" w:rsidRPr="00943284">
          <w:rPr>
            <w:rFonts w:ascii="Times New Roman" w:hAnsi="Times New Roman" w:cs="Times New Roman"/>
            <w:b/>
            <w:noProof/>
            <w:webHidden/>
          </w:rPr>
          <w:fldChar w:fldCharType="separate"/>
        </w:r>
        <w:r w:rsidR="00DC0534">
          <w:rPr>
            <w:rFonts w:ascii="Times New Roman" w:hAnsi="Times New Roman" w:cs="Times New Roman"/>
            <w:b/>
            <w:noProof/>
            <w:webHidden/>
          </w:rPr>
          <w:t>3</w:t>
        </w:r>
        <w:r w:rsidR="00943284" w:rsidRPr="00943284">
          <w:rPr>
            <w:rFonts w:ascii="Times New Roman" w:hAnsi="Times New Roman" w:cs="Times New Roman"/>
            <w:b/>
            <w:noProof/>
            <w:webHidden/>
          </w:rPr>
          <w:fldChar w:fldCharType="end"/>
        </w:r>
      </w:hyperlink>
    </w:p>
    <w:p w:rsidR="00943284" w:rsidRPr="00943284" w:rsidRDefault="00CB5222" w:rsidP="00943284">
      <w:pPr>
        <w:pStyle w:val="Obsah1"/>
        <w:tabs>
          <w:tab w:val="right" w:leader="dot" w:pos="9060"/>
        </w:tabs>
        <w:rPr>
          <w:rFonts w:ascii="Times New Roman" w:eastAsia="Times New Roman" w:hAnsi="Times New Roman" w:cs="Times New Roman"/>
          <w:b/>
          <w:noProof/>
          <w:lang w:eastAsia="sk-SK"/>
        </w:rPr>
      </w:pPr>
      <w:hyperlink w:anchor="_Toc382141681" w:history="1">
        <w:r w:rsidR="00943284" w:rsidRPr="00943284">
          <w:rPr>
            <w:rStyle w:val="Hypertextovprepojenie"/>
            <w:rFonts w:ascii="Times New Roman" w:hAnsi="Times New Roman" w:cs="Times New Roman"/>
            <w:b/>
            <w:noProof/>
          </w:rPr>
          <w:t>2. Unusual transactions</w:t>
        </w:r>
        <w:r w:rsidR="00943284" w:rsidRPr="00943284">
          <w:rPr>
            <w:rFonts w:ascii="Times New Roman" w:hAnsi="Times New Roman" w:cs="Times New Roman"/>
            <w:b/>
            <w:noProof/>
            <w:webHidden/>
          </w:rPr>
          <w:tab/>
        </w:r>
        <w:r w:rsidR="00943284" w:rsidRPr="00943284">
          <w:rPr>
            <w:rFonts w:ascii="Times New Roman" w:hAnsi="Times New Roman" w:cs="Times New Roman"/>
            <w:b/>
            <w:noProof/>
            <w:webHidden/>
          </w:rPr>
          <w:fldChar w:fldCharType="begin"/>
        </w:r>
        <w:r w:rsidR="00943284" w:rsidRPr="00943284">
          <w:rPr>
            <w:rFonts w:ascii="Times New Roman" w:hAnsi="Times New Roman" w:cs="Times New Roman"/>
            <w:b/>
            <w:noProof/>
            <w:webHidden/>
          </w:rPr>
          <w:instrText xml:space="preserve"> PAGEREF _Toc382141681 \h </w:instrText>
        </w:r>
        <w:r w:rsidR="00943284" w:rsidRPr="00943284">
          <w:rPr>
            <w:rFonts w:ascii="Times New Roman" w:hAnsi="Times New Roman" w:cs="Times New Roman"/>
            <w:b/>
            <w:noProof/>
            <w:webHidden/>
          </w:rPr>
        </w:r>
        <w:r w:rsidR="00943284" w:rsidRPr="00943284">
          <w:rPr>
            <w:rFonts w:ascii="Times New Roman" w:hAnsi="Times New Roman" w:cs="Times New Roman"/>
            <w:b/>
            <w:noProof/>
            <w:webHidden/>
          </w:rPr>
          <w:fldChar w:fldCharType="separate"/>
        </w:r>
        <w:r w:rsidR="00DC0534">
          <w:rPr>
            <w:rFonts w:ascii="Times New Roman" w:hAnsi="Times New Roman" w:cs="Times New Roman"/>
            <w:b/>
            <w:noProof/>
            <w:webHidden/>
          </w:rPr>
          <w:t>4</w:t>
        </w:r>
        <w:r w:rsidR="00943284" w:rsidRPr="00943284">
          <w:rPr>
            <w:rFonts w:ascii="Times New Roman" w:hAnsi="Times New Roman" w:cs="Times New Roman"/>
            <w:b/>
            <w:noProof/>
            <w:webHidden/>
          </w:rPr>
          <w:fldChar w:fldCharType="end"/>
        </w:r>
      </w:hyperlink>
    </w:p>
    <w:p w:rsidR="00943284" w:rsidRPr="00943284" w:rsidRDefault="00CB5222" w:rsidP="00943284">
      <w:pPr>
        <w:pStyle w:val="Obsah2"/>
        <w:rPr>
          <w:rFonts w:ascii="Times New Roman" w:eastAsia="Times New Roman" w:hAnsi="Times New Roman" w:cs="Times New Roman"/>
          <w:b/>
          <w:noProof/>
          <w:lang w:eastAsia="sk-SK"/>
        </w:rPr>
      </w:pPr>
      <w:hyperlink w:anchor="_Toc382141682" w:history="1">
        <w:r w:rsidR="00943284" w:rsidRPr="00943284">
          <w:rPr>
            <w:rStyle w:val="Hypertextovprepojenie"/>
            <w:rFonts w:ascii="Times New Roman" w:hAnsi="Times New Roman" w:cs="Times New Roman"/>
            <w:b/>
            <w:noProof/>
          </w:rPr>
          <w:t xml:space="preserve">2.1 </w:t>
        </w:r>
        <w:r w:rsidR="00792757">
          <w:rPr>
            <w:rStyle w:val="Hypertextovprepojenie"/>
            <w:rFonts w:ascii="Times New Roman" w:hAnsi="Times New Roman" w:cs="Times New Roman"/>
            <w:b/>
            <w:noProof/>
          </w:rPr>
          <w:t>The postponement of unusual transaction</w:t>
        </w:r>
        <w:r w:rsidR="00943284" w:rsidRPr="00943284">
          <w:rPr>
            <w:rStyle w:val="Hypertextovprepojenie"/>
            <w:rFonts w:ascii="Times New Roman" w:hAnsi="Times New Roman" w:cs="Times New Roman"/>
            <w:b/>
            <w:noProof/>
          </w:rPr>
          <w:t xml:space="preserve"> </w:t>
        </w:r>
        <w:r w:rsidR="00943284" w:rsidRPr="00943284">
          <w:rPr>
            <w:rFonts w:ascii="Times New Roman" w:hAnsi="Times New Roman" w:cs="Times New Roman"/>
            <w:b/>
            <w:noProof/>
            <w:webHidden/>
          </w:rPr>
          <w:tab/>
        </w:r>
        <w:r w:rsidR="00943284" w:rsidRPr="00943284">
          <w:rPr>
            <w:rFonts w:ascii="Times New Roman" w:hAnsi="Times New Roman" w:cs="Times New Roman"/>
            <w:b/>
            <w:noProof/>
            <w:webHidden/>
          </w:rPr>
          <w:fldChar w:fldCharType="begin"/>
        </w:r>
        <w:r w:rsidR="00943284" w:rsidRPr="00943284">
          <w:rPr>
            <w:rFonts w:ascii="Times New Roman" w:hAnsi="Times New Roman" w:cs="Times New Roman"/>
            <w:b/>
            <w:noProof/>
            <w:webHidden/>
          </w:rPr>
          <w:instrText xml:space="preserve"> PAGEREF _Toc382141682 \h </w:instrText>
        </w:r>
        <w:r w:rsidR="00943284" w:rsidRPr="00943284">
          <w:rPr>
            <w:rFonts w:ascii="Times New Roman" w:hAnsi="Times New Roman" w:cs="Times New Roman"/>
            <w:b/>
            <w:noProof/>
            <w:webHidden/>
          </w:rPr>
        </w:r>
        <w:r w:rsidR="00943284" w:rsidRPr="00943284">
          <w:rPr>
            <w:rFonts w:ascii="Times New Roman" w:hAnsi="Times New Roman" w:cs="Times New Roman"/>
            <w:b/>
            <w:noProof/>
            <w:webHidden/>
          </w:rPr>
          <w:fldChar w:fldCharType="separate"/>
        </w:r>
        <w:r w:rsidR="00DC0534">
          <w:rPr>
            <w:rFonts w:ascii="Times New Roman" w:hAnsi="Times New Roman" w:cs="Times New Roman"/>
            <w:b/>
            <w:noProof/>
            <w:webHidden/>
          </w:rPr>
          <w:t>6</w:t>
        </w:r>
        <w:r w:rsidR="00943284" w:rsidRPr="00943284">
          <w:rPr>
            <w:rFonts w:ascii="Times New Roman" w:hAnsi="Times New Roman" w:cs="Times New Roman"/>
            <w:b/>
            <w:noProof/>
            <w:webHidden/>
          </w:rPr>
          <w:fldChar w:fldCharType="end"/>
        </w:r>
      </w:hyperlink>
    </w:p>
    <w:p w:rsidR="00943284" w:rsidRPr="00943284" w:rsidRDefault="00CB5222" w:rsidP="00943284">
      <w:pPr>
        <w:pStyle w:val="Obsah2"/>
        <w:rPr>
          <w:rFonts w:ascii="Times New Roman" w:eastAsia="Times New Roman" w:hAnsi="Times New Roman" w:cs="Times New Roman"/>
          <w:b/>
          <w:noProof/>
          <w:lang w:eastAsia="sk-SK"/>
        </w:rPr>
      </w:pPr>
      <w:hyperlink w:anchor="_Toc382141683" w:history="1">
        <w:r w:rsidR="00943284" w:rsidRPr="00943284">
          <w:rPr>
            <w:rStyle w:val="Hypertextovprepojenie"/>
            <w:rFonts w:ascii="Times New Roman" w:hAnsi="Times New Roman" w:cs="Times New Roman"/>
            <w:b/>
            <w:noProof/>
          </w:rPr>
          <w:t>2. 2 Types of recorded UTRs</w:t>
        </w:r>
        <w:r w:rsidR="00792757">
          <w:rPr>
            <w:rStyle w:val="Hypertextovprepojenie"/>
            <w:rFonts w:ascii="Times New Roman" w:hAnsi="Times New Roman" w:cs="Times New Roman"/>
            <w:b/>
            <w:noProof/>
          </w:rPr>
          <w:t xml:space="preserve"> and typology</w:t>
        </w:r>
        <w:r w:rsidR="00943284" w:rsidRPr="00943284">
          <w:rPr>
            <w:rFonts w:ascii="Times New Roman" w:hAnsi="Times New Roman" w:cs="Times New Roman"/>
            <w:b/>
            <w:noProof/>
            <w:webHidden/>
          </w:rPr>
          <w:tab/>
        </w:r>
        <w:r w:rsidR="00943284" w:rsidRPr="00943284">
          <w:rPr>
            <w:rFonts w:ascii="Times New Roman" w:hAnsi="Times New Roman" w:cs="Times New Roman"/>
            <w:b/>
            <w:noProof/>
            <w:webHidden/>
          </w:rPr>
          <w:fldChar w:fldCharType="begin"/>
        </w:r>
        <w:r w:rsidR="00943284" w:rsidRPr="00943284">
          <w:rPr>
            <w:rFonts w:ascii="Times New Roman" w:hAnsi="Times New Roman" w:cs="Times New Roman"/>
            <w:b/>
            <w:noProof/>
            <w:webHidden/>
          </w:rPr>
          <w:instrText xml:space="preserve"> PAGEREF _Toc382141683 \h </w:instrText>
        </w:r>
        <w:r w:rsidR="00943284" w:rsidRPr="00943284">
          <w:rPr>
            <w:rFonts w:ascii="Times New Roman" w:hAnsi="Times New Roman" w:cs="Times New Roman"/>
            <w:b/>
            <w:noProof/>
            <w:webHidden/>
          </w:rPr>
        </w:r>
        <w:r w:rsidR="00943284" w:rsidRPr="00943284">
          <w:rPr>
            <w:rFonts w:ascii="Times New Roman" w:hAnsi="Times New Roman" w:cs="Times New Roman"/>
            <w:b/>
            <w:noProof/>
            <w:webHidden/>
          </w:rPr>
          <w:fldChar w:fldCharType="separate"/>
        </w:r>
        <w:r w:rsidR="00DC0534">
          <w:rPr>
            <w:rFonts w:ascii="Times New Roman" w:hAnsi="Times New Roman" w:cs="Times New Roman"/>
            <w:b/>
            <w:noProof/>
            <w:webHidden/>
          </w:rPr>
          <w:t>6</w:t>
        </w:r>
        <w:r w:rsidR="00943284" w:rsidRPr="00943284">
          <w:rPr>
            <w:rFonts w:ascii="Times New Roman" w:hAnsi="Times New Roman" w:cs="Times New Roman"/>
            <w:b/>
            <w:noProof/>
            <w:webHidden/>
          </w:rPr>
          <w:fldChar w:fldCharType="end"/>
        </w:r>
      </w:hyperlink>
    </w:p>
    <w:p w:rsidR="00943284" w:rsidRPr="00943284" w:rsidRDefault="00CB5222" w:rsidP="00943284">
      <w:pPr>
        <w:pStyle w:val="Obsah2"/>
        <w:rPr>
          <w:rFonts w:ascii="Times New Roman" w:eastAsia="Times New Roman" w:hAnsi="Times New Roman" w:cs="Times New Roman"/>
          <w:b/>
          <w:noProof/>
          <w:lang w:eastAsia="sk-SK"/>
        </w:rPr>
      </w:pPr>
      <w:hyperlink w:anchor="_Toc382141684" w:history="1">
        <w:r w:rsidR="00943284" w:rsidRPr="00943284">
          <w:rPr>
            <w:rStyle w:val="Hypertextovprepojenie"/>
            <w:rFonts w:ascii="Times New Roman" w:hAnsi="Times New Roman" w:cs="Times New Roman"/>
            <w:b/>
            <w:noProof/>
          </w:rPr>
          <w:t xml:space="preserve">2.3 </w:t>
        </w:r>
        <w:r w:rsidR="0007463C">
          <w:rPr>
            <w:rStyle w:val="Hypertextovprepojenie"/>
            <w:rFonts w:ascii="Times New Roman" w:hAnsi="Times New Roman" w:cs="Times New Roman"/>
            <w:b/>
            <w:noProof/>
          </w:rPr>
          <w:t>E</w:t>
        </w:r>
        <w:r w:rsidR="00943284" w:rsidRPr="00943284">
          <w:rPr>
            <w:rStyle w:val="Hypertextovprepojenie"/>
            <w:rFonts w:ascii="Times New Roman" w:hAnsi="Times New Roman" w:cs="Times New Roman"/>
            <w:b/>
            <w:noProof/>
          </w:rPr>
          <w:t>fficiency of UTRs</w:t>
        </w:r>
        <w:r w:rsidR="00943284" w:rsidRPr="00943284">
          <w:rPr>
            <w:rFonts w:ascii="Times New Roman" w:hAnsi="Times New Roman" w:cs="Times New Roman"/>
            <w:b/>
            <w:noProof/>
            <w:webHidden/>
          </w:rPr>
          <w:tab/>
        </w:r>
        <w:r w:rsidR="00943284" w:rsidRPr="00943284">
          <w:rPr>
            <w:rFonts w:ascii="Times New Roman" w:hAnsi="Times New Roman" w:cs="Times New Roman"/>
            <w:b/>
            <w:noProof/>
            <w:webHidden/>
          </w:rPr>
          <w:fldChar w:fldCharType="begin"/>
        </w:r>
        <w:r w:rsidR="00943284" w:rsidRPr="00943284">
          <w:rPr>
            <w:rFonts w:ascii="Times New Roman" w:hAnsi="Times New Roman" w:cs="Times New Roman"/>
            <w:b/>
            <w:noProof/>
            <w:webHidden/>
          </w:rPr>
          <w:instrText xml:space="preserve"> PAGEREF _Toc382141684 \h </w:instrText>
        </w:r>
        <w:r w:rsidR="00943284" w:rsidRPr="00943284">
          <w:rPr>
            <w:rFonts w:ascii="Times New Roman" w:hAnsi="Times New Roman" w:cs="Times New Roman"/>
            <w:b/>
            <w:noProof/>
            <w:webHidden/>
          </w:rPr>
        </w:r>
        <w:r w:rsidR="00943284" w:rsidRPr="00943284">
          <w:rPr>
            <w:rFonts w:ascii="Times New Roman" w:hAnsi="Times New Roman" w:cs="Times New Roman"/>
            <w:b/>
            <w:noProof/>
            <w:webHidden/>
          </w:rPr>
          <w:fldChar w:fldCharType="separate"/>
        </w:r>
        <w:r w:rsidR="00DC0534">
          <w:rPr>
            <w:rFonts w:ascii="Times New Roman" w:hAnsi="Times New Roman" w:cs="Times New Roman"/>
            <w:b/>
            <w:noProof/>
            <w:webHidden/>
          </w:rPr>
          <w:t>8</w:t>
        </w:r>
        <w:r w:rsidR="00943284" w:rsidRPr="00943284">
          <w:rPr>
            <w:rFonts w:ascii="Times New Roman" w:hAnsi="Times New Roman" w:cs="Times New Roman"/>
            <w:b/>
            <w:noProof/>
            <w:webHidden/>
          </w:rPr>
          <w:fldChar w:fldCharType="end"/>
        </w:r>
      </w:hyperlink>
    </w:p>
    <w:p w:rsidR="00943284" w:rsidRPr="00943284" w:rsidRDefault="00CB5222" w:rsidP="00943284">
      <w:pPr>
        <w:pStyle w:val="Obsah1"/>
        <w:tabs>
          <w:tab w:val="right" w:leader="dot" w:pos="9060"/>
        </w:tabs>
        <w:rPr>
          <w:rFonts w:ascii="Times New Roman" w:eastAsia="Times New Roman" w:hAnsi="Times New Roman" w:cs="Times New Roman"/>
          <w:b/>
          <w:noProof/>
          <w:lang w:eastAsia="sk-SK"/>
        </w:rPr>
      </w:pPr>
      <w:hyperlink w:anchor="_Toc382141685" w:history="1">
        <w:r w:rsidR="0007463C">
          <w:rPr>
            <w:rStyle w:val="Hypertextovprepojenie"/>
            <w:rFonts w:ascii="Times New Roman" w:hAnsi="Times New Roman" w:cs="Times New Roman"/>
            <w:b/>
            <w:noProof/>
          </w:rPr>
          <w:t>3. Control activity</w:t>
        </w:r>
        <w:r w:rsidR="00943284" w:rsidRPr="00943284">
          <w:rPr>
            <w:rFonts w:ascii="Times New Roman" w:hAnsi="Times New Roman" w:cs="Times New Roman"/>
            <w:b/>
            <w:noProof/>
            <w:webHidden/>
          </w:rPr>
          <w:tab/>
        </w:r>
        <w:r w:rsidR="00943284" w:rsidRPr="00943284">
          <w:rPr>
            <w:rFonts w:ascii="Times New Roman" w:hAnsi="Times New Roman" w:cs="Times New Roman"/>
            <w:b/>
            <w:noProof/>
            <w:webHidden/>
          </w:rPr>
          <w:fldChar w:fldCharType="begin"/>
        </w:r>
        <w:r w:rsidR="00943284" w:rsidRPr="00943284">
          <w:rPr>
            <w:rFonts w:ascii="Times New Roman" w:hAnsi="Times New Roman" w:cs="Times New Roman"/>
            <w:b/>
            <w:noProof/>
            <w:webHidden/>
          </w:rPr>
          <w:instrText xml:space="preserve"> PAGEREF _Toc382141685 \h </w:instrText>
        </w:r>
        <w:r w:rsidR="00943284" w:rsidRPr="00943284">
          <w:rPr>
            <w:rFonts w:ascii="Times New Roman" w:hAnsi="Times New Roman" w:cs="Times New Roman"/>
            <w:b/>
            <w:noProof/>
            <w:webHidden/>
          </w:rPr>
        </w:r>
        <w:r w:rsidR="00943284" w:rsidRPr="00943284">
          <w:rPr>
            <w:rFonts w:ascii="Times New Roman" w:hAnsi="Times New Roman" w:cs="Times New Roman"/>
            <w:b/>
            <w:noProof/>
            <w:webHidden/>
          </w:rPr>
          <w:fldChar w:fldCharType="separate"/>
        </w:r>
        <w:r w:rsidR="00DC0534">
          <w:rPr>
            <w:rFonts w:ascii="Times New Roman" w:hAnsi="Times New Roman" w:cs="Times New Roman"/>
            <w:b/>
            <w:noProof/>
            <w:webHidden/>
          </w:rPr>
          <w:t>13</w:t>
        </w:r>
        <w:r w:rsidR="00943284" w:rsidRPr="00943284">
          <w:rPr>
            <w:rFonts w:ascii="Times New Roman" w:hAnsi="Times New Roman" w:cs="Times New Roman"/>
            <w:b/>
            <w:noProof/>
            <w:webHidden/>
          </w:rPr>
          <w:fldChar w:fldCharType="end"/>
        </w:r>
      </w:hyperlink>
    </w:p>
    <w:p w:rsidR="00943284" w:rsidRPr="00943284" w:rsidRDefault="00CB5222" w:rsidP="00943284">
      <w:pPr>
        <w:pStyle w:val="Obsah1"/>
        <w:tabs>
          <w:tab w:val="right" w:leader="dot" w:pos="9060"/>
        </w:tabs>
        <w:rPr>
          <w:rFonts w:ascii="Times New Roman" w:eastAsia="Times New Roman" w:hAnsi="Times New Roman" w:cs="Times New Roman"/>
          <w:b/>
          <w:noProof/>
          <w:lang w:eastAsia="sk-SK"/>
        </w:rPr>
      </w:pPr>
      <w:hyperlink w:anchor="_Toc382141686" w:history="1">
        <w:r w:rsidR="00943284" w:rsidRPr="00943284">
          <w:rPr>
            <w:rStyle w:val="Hypertextovprepojenie"/>
            <w:rFonts w:ascii="Times New Roman" w:hAnsi="Times New Roman" w:cs="Times New Roman"/>
            <w:b/>
            <w:noProof/>
          </w:rPr>
          <w:t>4.International cooperation</w:t>
        </w:r>
        <w:r w:rsidR="00943284" w:rsidRPr="00943284">
          <w:rPr>
            <w:rFonts w:ascii="Times New Roman" w:hAnsi="Times New Roman" w:cs="Times New Roman"/>
            <w:b/>
            <w:noProof/>
            <w:webHidden/>
          </w:rPr>
          <w:tab/>
        </w:r>
        <w:r w:rsidR="00943284" w:rsidRPr="00943284">
          <w:rPr>
            <w:rFonts w:ascii="Times New Roman" w:hAnsi="Times New Roman" w:cs="Times New Roman"/>
            <w:b/>
            <w:noProof/>
            <w:webHidden/>
          </w:rPr>
          <w:fldChar w:fldCharType="begin"/>
        </w:r>
        <w:r w:rsidR="00943284" w:rsidRPr="00943284">
          <w:rPr>
            <w:rFonts w:ascii="Times New Roman" w:hAnsi="Times New Roman" w:cs="Times New Roman"/>
            <w:b/>
            <w:noProof/>
            <w:webHidden/>
          </w:rPr>
          <w:instrText xml:space="preserve"> PAGEREF _Toc382141686 \h </w:instrText>
        </w:r>
        <w:r w:rsidR="00943284" w:rsidRPr="00943284">
          <w:rPr>
            <w:rFonts w:ascii="Times New Roman" w:hAnsi="Times New Roman" w:cs="Times New Roman"/>
            <w:b/>
            <w:noProof/>
            <w:webHidden/>
          </w:rPr>
        </w:r>
        <w:r w:rsidR="00943284" w:rsidRPr="00943284">
          <w:rPr>
            <w:rFonts w:ascii="Times New Roman" w:hAnsi="Times New Roman" w:cs="Times New Roman"/>
            <w:b/>
            <w:noProof/>
            <w:webHidden/>
          </w:rPr>
          <w:fldChar w:fldCharType="separate"/>
        </w:r>
        <w:r w:rsidR="00DC0534">
          <w:rPr>
            <w:rFonts w:ascii="Times New Roman" w:hAnsi="Times New Roman" w:cs="Times New Roman"/>
            <w:b/>
            <w:noProof/>
            <w:webHidden/>
          </w:rPr>
          <w:t>15</w:t>
        </w:r>
        <w:r w:rsidR="00943284" w:rsidRPr="00943284">
          <w:rPr>
            <w:rFonts w:ascii="Times New Roman" w:hAnsi="Times New Roman" w:cs="Times New Roman"/>
            <w:b/>
            <w:noProof/>
            <w:webHidden/>
          </w:rPr>
          <w:fldChar w:fldCharType="end"/>
        </w:r>
      </w:hyperlink>
    </w:p>
    <w:p w:rsidR="00943284" w:rsidRPr="00943284" w:rsidRDefault="00CB5222" w:rsidP="00943284">
      <w:pPr>
        <w:pStyle w:val="Obsah1"/>
        <w:tabs>
          <w:tab w:val="right" w:leader="dot" w:pos="9060"/>
        </w:tabs>
        <w:rPr>
          <w:rFonts w:ascii="Times New Roman" w:eastAsia="Times New Roman" w:hAnsi="Times New Roman" w:cs="Times New Roman"/>
          <w:b/>
          <w:noProof/>
          <w:lang w:eastAsia="sk-SK"/>
        </w:rPr>
      </w:pPr>
      <w:hyperlink w:anchor="_Toc382141687" w:history="1">
        <w:r w:rsidR="00943284" w:rsidRPr="00943284">
          <w:rPr>
            <w:rStyle w:val="Hypertextovprepojenie"/>
            <w:rFonts w:ascii="Times New Roman" w:hAnsi="Times New Roman" w:cs="Times New Roman"/>
            <w:b/>
            <w:noProof/>
          </w:rPr>
          <w:t>5. Financial and property verification</w:t>
        </w:r>
        <w:r w:rsidR="00943284" w:rsidRPr="00943284">
          <w:rPr>
            <w:rFonts w:ascii="Times New Roman" w:hAnsi="Times New Roman" w:cs="Times New Roman"/>
            <w:b/>
            <w:noProof/>
            <w:webHidden/>
          </w:rPr>
          <w:tab/>
        </w:r>
        <w:r w:rsidR="00943284" w:rsidRPr="00943284">
          <w:rPr>
            <w:rFonts w:ascii="Times New Roman" w:hAnsi="Times New Roman" w:cs="Times New Roman"/>
            <w:b/>
            <w:noProof/>
            <w:webHidden/>
          </w:rPr>
          <w:fldChar w:fldCharType="begin"/>
        </w:r>
        <w:r w:rsidR="00943284" w:rsidRPr="00943284">
          <w:rPr>
            <w:rFonts w:ascii="Times New Roman" w:hAnsi="Times New Roman" w:cs="Times New Roman"/>
            <w:b/>
            <w:noProof/>
            <w:webHidden/>
          </w:rPr>
          <w:instrText xml:space="preserve"> PAGEREF _Toc382141687 \h </w:instrText>
        </w:r>
        <w:r w:rsidR="00943284" w:rsidRPr="00943284">
          <w:rPr>
            <w:rFonts w:ascii="Times New Roman" w:hAnsi="Times New Roman" w:cs="Times New Roman"/>
            <w:b/>
            <w:noProof/>
            <w:webHidden/>
          </w:rPr>
        </w:r>
        <w:r w:rsidR="00943284" w:rsidRPr="00943284">
          <w:rPr>
            <w:rFonts w:ascii="Times New Roman" w:hAnsi="Times New Roman" w:cs="Times New Roman"/>
            <w:b/>
            <w:noProof/>
            <w:webHidden/>
          </w:rPr>
          <w:fldChar w:fldCharType="separate"/>
        </w:r>
        <w:r w:rsidR="00DC0534">
          <w:rPr>
            <w:rFonts w:ascii="Times New Roman" w:hAnsi="Times New Roman" w:cs="Times New Roman"/>
            <w:b/>
            <w:noProof/>
            <w:webHidden/>
          </w:rPr>
          <w:t>18</w:t>
        </w:r>
        <w:r w:rsidR="00943284" w:rsidRPr="00943284">
          <w:rPr>
            <w:rFonts w:ascii="Times New Roman" w:hAnsi="Times New Roman" w:cs="Times New Roman"/>
            <w:b/>
            <w:noProof/>
            <w:webHidden/>
          </w:rPr>
          <w:fldChar w:fldCharType="end"/>
        </w:r>
      </w:hyperlink>
    </w:p>
    <w:p w:rsidR="00943284" w:rsidRPr="00943284" w:rsidRDefault="00CB5222" w:rsidP="00943284">
      <w:pPr>
        <w:pStyle w:val="Obsah2"/>
        <w:rPr>
          <w:rFonts w:ascii="Times New Roman" w:eastAsia="Times New Roman" w:hAnsi="Times New Roman" w:cs="Times New Roman"/>
          <w:b/>
          <w:noProof/>
          <w:lang w:eastAsia="sk-SK"/>
        </w:rPr>
      </w:pPr>
      <w:hyperlink w:anchor="_Toc382141688" w:history="1">
        <w:r w:rsidR="00943284" w:rsidRPr="00943284">
          <w:rPr>
            <w:rStyle w:val="Hypertextovprepojenie"/>
            <w:rFonts w:ascii="Times New Roman" w:hAnsi="Times New Roman" w:cs="Times New Roman"/>
            <w:b/>
            <w:noProof/>
          </w:rPr>
          <w:t>5.1 Identification of incomes and property derived from criminal activity</w:t>
        </w:r>
        <w:r w:rsidR="00943284" w:rsidRPr="00943284">
          <w:rPr>
            <w:rFonts w:ascii="Times New Roman" w:hAnsi="Times New Roman" w:cs="Times New Roman"/>
            <w:b/>
            <w:noProof/>
            <w:webHidden/>
          </w:rPr>
          <w:tab/>
        </w:r>
      </w:hyperlink>
      <w:r w:rsidR="00D46154">
        <w:rPr>
          <w:rFonts w:ascii="Times New Roman" w:hAnsi="Times New Roman" w:cs="Times New Roman"/>
          <w:b/>
          <w:noProof/>
        </w:rPr>
        <w:t>17</w:t>
      </w:r>
    </w:p>
    <w:p w:rsidR="00943284" w:rsidRPr="00943284" w:rsidRDefault="00CB5222" w:rsidP="00943284">
      <w:pPr>
        <w:pStyle w:val="Obsah2"/>
        <w:rPr>
          <w:rFonts w:ascii="Times New Roman" w:eastAsia="Times New Roman" w:hAnsi="Times New Roman" w:cs="Times New Roman"/>
          <w:b/>
          <w:noProof/>
          <w:lang w:eastAsia="sk-SK"/>
        </w:rPr>
      </w:pPr>
      <w:hyperlink w:anchor="_Toc382141689" w:history="1">
        <w:r w:rsidR="00943284" w:rsidRPr="00943284">
          <w:rPr>
            <w:rStyle w:val="Hypertextovprepojenie"/>
            <w:rFonts w:ascii="Times New Roman" w:hAnsi="Times New Roman" w:cs="Times New Roman"/>
            <w:b/>
            <w:noProof/>
          </w:rPr>
          <w:t>5.2 Proof of origin of property</w:t>
        </w:r>
        <w:r w:rsidR="00943284" w:rsidRPr="00943284">
          <w:rPr>
            <w:rFonts w:ascii="Times New Roman" w:hAnsi="Times New Roman" w:cs="Times New Roman"/>
            <w:b/>
            <w:noProof/>
            <w:webHidden/>
          </w:rPr>
          <w:tab/>
        </w:r>
        <w:r w:rsidR="00943284" w:rsidRPr="00943284">
          <w:rPr>
            <w:rFonts w:ascii="Times New Roman" w:hAnsi="Times New Roman" w:cs="Times New Roman"/>
            <w:b/>
            <w:noProof/>
            <w:webHidden/>
          </w:rPr>
          <w:fldChar w:fldCharType="begin"/>
        </w:r>
        <w:r w:rsidR="00943284" w:rsidRPr="00943284">
          <w:rPr>
            <w:rFonts w:ascii="Times New Roman" w:hAnsi="Times New Roman" w:cs="Times New Roman"/>
            <w:b/>
            <w:noProof/>
            <w:webHidden/>
          </w:rPr>
          <w:instrText xml:space="preserve"> PAGEREF _Toc382141689 \h </w:instrText>
        </w:r>
        <w:r w:rsidR="00943284" w:rsidRPr="00943284">
          <w:rPr>
            <w:rFonts w:ascii="Times New Roman" w:hAnsi="Times New Roman" w:cs="Times New Roman"/>
            <w:b/>
            <w:noProof/>
            <w:webHidden/>
          </w:rPr>
        </w:r>
        <w:r w:rsidR="00943284" w:rsidRPr="00943284">
          <w:rPr>
            <w:rFonts w:ascii="Times New Roman" w:hAnsi="Times New Roman" w:cs="Times New Roman"/>
            <w:b/>
            <w:noProof/>
            <w:webHidden/>
          </w:rPr>
          <w:fldChar w:fldCharType="separate"/>
        </w:r>
        <w:r w:rsidR="00DC0534">
          <w:rPr>
            <w:rFonts w:ascii="Times New Roman" w:hAnsi="Times New Roman" w:cs="Times New Roman"/>
            <w:b/>
            <w:noProof/>
            <w:webHidden/>
          </w:rPr>
          <w:t>19</w:t>
        </w:r>
        <w:r w:rsidR="00943284" w:rsidRPr="00943284">
          <w:rPr>
            <w:rFonts w:ascii="Times New Roman" w:hAnsi="Times New Roman" w:cs="Times New Roman"/>
            <w:b/>
            <w:noProof/>
            <w:webHidden/>
          </w:rPr>
          <w:fldChar w:fldCharType="end"/>
        </w:r>
      </w:hyperlink>
    </w:p>
    <w:p w:rsidR="00943284" w:rsidRPr="00943284" w:rsidRDefault="00CB5222" w:rsidP="00943284">
      <w:pPr>
        <w:pStyle w:val="Obsah1"/>
        <w:tabs>
          <w:tab w:val="right" w:leader="dot" w:pos="9060"/>
        </w:tabs>
        <w:rPr>
          <w:rFonts w:ascii="Times New Roman" w:eastAsia="Times New Roman" w:hAnsi="Times New Roman" w:cs="Times New Roman"/>
          <w:b/>
          <w:noProof/>
          <w:lang w:eastAsia="sk-SK"/>
        </w:rPr>
      </w:pPr>
      <w:hyperlink w:anchor="_Toc382141690" w:history="1">
        <w:r w:rsidR="00943284" w:rsidRPr="00943284">
          <w:rPr>
            <w:rStyle w:val="Hypertextovprepojenie"/>
            <w:rFonts w:ascii="Times New Roman" w:hAnsi="Times New Roman" w:cs="Times New Roman"/>
            <w:b/>
            <w:noProof/>
          </w:rPr>
          <w:t xml:space="preserve">6. Analytical activity </w:t>
        </w:r>
        <w:r w:rsidR="00943284" w:rsidRPr="00943284">
          <w:rPr>
            <w:rFonts w:ascii="Times New Roman" w:hAnsi="Times New Roman" w:cs="Times New Roman"/>
            <w:b/>
            <w:noProof/>
            <w:webHidden/>
          </w:rPr>
          <w:tab/>
        </w:r>
        <w:r w:rsidR="00943284" w:rsidRPr="00943284">
          <w:rPr>
            <w:rFonts w:ascii="Times New Roman" w:hAnsi="Times New Roman" w:cs="Times New Roman"/>
            <w:b/>
            <w:noProof/>
            <w:webHidden/>
          </w:rPr>
          <w:fldChar w:fldCharType="begin"/>
        </w:r>
        <w:r w:rsidR="00943284" w:rsidRPr="00943284">
          <w:rPr>
            <w:rFonts w:ascii="Times New Roman" w:hAnsi="Times New Roman" w:cs="Times New Roman"/>
            <w:b/>
            <w:noProof/>
            <w:webHidden/>
          </w:rPr>
          <w:instrText xml:space="preserve"> PAGEREF _Toc382141690 \h </w:instrText>
        </w:r>
        <w:r w:rsidR="00943284" w:rsidRPr="00943284">
          <w:rPr>
            <w:rFonts w:ascii="Times New Roman" w:hAnsi="Times New Roman" w:cs="Times New Roman"/>
            <w:b/>
            <w:noProof/>
            <w:webHidden/>
          </w:rPr>
        </w:r>
        <w:r w:rsidR="00943284" w:rsidRPr="00943284">
          <w:rPr>
            <w:rFonts w:ascii="Times New Roman" w:hAnsi="Times New Roman" w:cs="Times New Roman"/>
            <w:b/>
            <w:noProof/>
            <w:webHidden/>
          </w:rPr>
          <w:fldChar w:fldCharType="separate"/>
        </w:r>
        <w:r w:rsidR="00DC0534">
          <w:rPr>
            <w:rFonts w:ascii="Times New Roman" w:hAnsi="Times New Roman" w:cs="Times New Roman"/>
            <w:b/>
            <w:noProof/>
            <w:webHidden/>
          </w:rPr>
          <w:t>20</w:t>
        </w:r>
        <w:r w:rsidR="00943284" w:rsidRPr="00943284">
          <w:rPr>
            <w:rFonts w:ascii="Times New Roman" w:hAnsi="Times New Roman" w:cs="Times New Roman"/>
            <w:b/>
            <w:noProof/>
            <w:webHidden/>
          </w:rPr>
          <w:fldChar w:fldCharType="end"/>
        </w:r>
      </w:hyperlink>
    </w:p>
    <w:p w:rsidR="00943284" w:rsidRPr="00943284" w:rsidRDefault="00CB5222" w:rsidP="00943284">
      <w:pPr>
        <w:pStyle w:val="Obsah2"/>
        <w:rPr>
          <w:rFonts w:ascii="Times New Roman" w:eastAsia="Times New Roman" w:hAnsi="Times New Roman" w:cs="Times New Roman"/>
          <w:b/>
          <w:noProof/>
          <w:lang w:eastAsia="sk-SK"/>
        </w:rPr>
      </w:pPr>
      <w:hyperlink w:anchor="_Toc382141691" w:history="1">
        <w:r w:rsidR="00943284" w:rsidRPr="00943284">
          <w:rPr>
            <w:rStyle w:val="Hypertextovprepojenie"/>
            <w:rFonts w:ascii="Times New Roman" w:hAnsi="Times New Roman" w:cs="Times New Roman"/>
            <w:b/>
            <w:noProof/>
          </w:rPr>
          <w:t>6.1 Currency transportation (</w:t>
        </w:r>
        <w:r w:rsidR="0007463C">
          <w:rPr>
            <w:rStyle w:val="Hypertextovprepojenie"/>
            <w:rFonts w:ascii="Times New Roman" w:hAnsi="Times New Roman" w:cs="Times New Roman"/>
            <w:b/>
            <w:noProof/>
          </w:rPr>
          <w:t>C</w:t>
        </w:r>
        <w:r w:rsidR="00943284" w:rsidRPr="00943284">
          <w:rPr>
            <w:rStyle w:val="Hypertextovprepojenie"/>
            <w:rFonts w:ascii="Times New Roman" w:hAnsi="Times New Roman" w:cs="Times New Roman"/>
            <w:b/>
            <w:noProof/>
          </w:rPr>
          <w:t>ross</w:t>
        </w:r>
        <w:r w:rsidR="0007463C">
          <w:rPr>
            <w:rStyle w:val="Hypertextovprepojenie"/>
            <w:rFonts w:ascii="Times New Roman" w:hAnsi="Times New Roman" w:cs="Times New Roman"/>
            <w:b/>
            <w:noProof/>
          </w:rPr>
          <w:t>-</w:t>
        </w:r>
        <w:r w:rsidR="00943284" w:rsidRPr="00943284">
          <w:rPr>
            <w:rStyle w:val="Hypertextovprepojenie"/>
            <w:rFonts w:ascii="Times New Roman" w:hAnsi="Times New Roman" w:cs="Times New Roman"/>
            <w:b/>
            <w:noProof/>
          </w:rPr>
          <w:t>border reporting)</w:t>
        </w:r>
        <w:r w:rsidR="00943284" w:rsidRPr="00943284">
          <w:rPr>
            <w:rFonts w:ascii="Times New Roman" w:hAnsi="Times New Roman" w:cs="Times New Roman"/>
            <w:b/>
            <w:noProof/>
            <w:webHidden/>
          </w:rPr>
          <w:tab/>
        </w:r>
        <w:r w:rsidR="00943284" w:rsidRPr="00943284">
          <w:rPr>
            <w:rFonts w:ascii="Times New Roman" w:hAnsi="Times New Roman" w:cs="Times New Roman"/>
            <w:b/>
            <w:noProof/>
            <w:webHidden/>
          </w:rPr>
          <w:fldChar w:fldCharType="begin"/>
        </w:r>
        <w:r w:rsidR="00943284" w:rsidRPr="00943284">
          <w:rPr>
            <w:rFonts w:ascii="Times New Roman" w:hAnsi="Times New Roman" w:cs="Times New Roman"/>
            <w:b/>
            <w:noProof/>
            <w:webHidden/>
          </w:rPr>
          <w:instrText xml:space="preserve"> PAGEREF _Toc382141691 \h </w:instrText>
        </w:r>
        <w:r w:rsidR="00943284" w:rsidRPr="00943284">
          <w:rPr>
            <w:rFonts w:ascii="Times New Roman" w:hAnsi="Times New Roman" w:cs="Times New Roman"/>
            <w:b/>
            <w:noProof/>
            <w:webHidden/>
          </w:rPr>
        </w:r>
        <w:r w:rsidR="00943284" w:rsidRPr="00943284">
          <w:rPr>
            <w:rFonts w:ascii="Times New Roman" w:hAnsi="Times New Roman" w:cs="Times New Roman"/>
            <w:b/>
            <w:noProof/>
            <w:webHidden/>
          </w:rPr>
          <w:fldChar w:fldCharType="separate"/>
        </w:r>
        <w:r w:rsidR="00DC0534">
          <w:rPr>
            <w:rFonts w:ascii="Times New Roman" w:hAnsi="Times New Roman" w:cs="Times New Roman"/>
            <w:b/>
            <w:noProof/>
            <w:webHidden/>
          </w:rPr>
          <w:t>21</w:t>
        </w:r>
        <w:r w:rsidR="00943284" w:rsidRPr="00943284">
          <w:rPr>
            <w:rFonts w:ascii="Times New Roman" w:hAnsi="Times New Roman" w:cs="Times New Roman"/>
            <w:b/>
            <w:noProof/>
            <w:webHidden/>
          </w:rPr>
          <w:fldChar w:fldCharType="end"/>
        </w:r>
      </w:hyperlink>
    </w:p>
    <w:p w:rsidR="00943284" w:rsidRPr="00943284" w:rsidRDefault="00CB5222" w:rsidP="00943284">
      <w:pPr>
        <w:pStyle w:val="Obsah1"/>
        <w:tabs>
          <w:tab w:val="right" w:leader="dot" w:pos="9060"/>
        </w:tabs>
        <w:rPr>
          <w:rFonts w:ascii="Times New Roman" w:eastAsia="Times New Roman" w:hAnsi="Times New Roman" w:cs="Times New Roman"/>
          <w:b/>
          <w:noProof/>
          <w:lang w:eastAsia="sk-SK"/>
        </w:rPr>
      </w:pPr>
      <w:hyperlink w:anchor="_Toc382141692" w:history="1">
        <w:r w:rsidR="00943284" w:rsidRPr="00943284">
          <w:rPr>
            <w:rStyle w:val="Hypertextovprepojenie"/>
            <w:rFonts w:ascii="Times New Roman" w:hAnsi="Times New Roman" w:cs="Times New Roman"/>
            <w:b/>
            <w:noProof/>
          </w:rPr>
          <w:t>7. Prognosis for the future</w:t>
        </w:r>
        <w:r w:rsidR="0007463C">
          <w:rPr>
            <w:rStyle w:val="Hypertextovprepojenie"/>
            <w:rFonts w:ascii="Times New Roman" w:hAnsi="Times New Roman" w:cs="Times New Roman"/>
            <w:b/>
            <w:noProof/>
          </w:rPr>
          <w:t xml:space="preserve"> in the area of legalisation of proceeds from crime                              and terrorist financing</w:t>
        </w:r>
        <w:r w:rsidR="00943284" w:rsidRPr="00943284">
          <w:rPr>
            <w:rFonts w:ascii="Times New Roman" w:hAnsi="Times New Roman" w:cs="Times New Roman"/>
            <w:b/>
            <w:noProof/>
            <w:webHidden/>
          </w:rPr>
          <w:tab/>
        </w:r>
      </w:hyperlink>
      <w:r w:rsidR="00D46154">
        <w:rPr>
          <w:rFonts w:ascii="Times New Roman" w:hAnsi="Times New Roman" w:cs="Times New Roman"/>
          <w:b/>
          <w:noProof/>
        </w:rPr>
        <w:t>22</w:t>
      </w:r>
    </w:p>
    <w:p w:rsidR="00943284" w:rsidRPr="00943284" w:rsidRDefault="00CB5222" w:rsidP="00943284">
      <w:pPr>
        <w:pStyle w:val="Obsah1"/>
        <w:tabs>
          <w:tab w:val="right" w:leader="dot" w:pos="9060"/>
        </w:tabs>
        <w:rPr>
          <w:rFonts w:ascii="Times New Roman" w:eastAsia="Times New Roman" w:hAnsi="Times New Roman" w:cs="Times New Roman"/>
          <w:b/>
          <w:noProof/>
          <w:lang w:eastAsia="sk-SK"/>
        </w:rPr>
      </w:pPr>
      <w:hyperlink w:anchor="_Toc382141693" w:history="1">
        <w:r w:rsidR="00943284" w:rsidRPr="00943284">
          <w:rPr>
            <w:rStyle w:val="Hypertextovprepojenie"/>
            <w:rFonts w:ascii="Times New Roman" w:hAnsi="Times New Roman" w:cs="Times New Roman"/>
            <w:b/>
            <w:noProof/>
          </w:rPr>
          <w:t xml:space="preserve">8. </w:t>
        </w:r>
        <w:r w:rsidR="0007463C">
          <w:rPr>
            <w:rStyle w:val="Hypertextovprepojenie"/>
            <w:rFonts w:ascii="Times New Roman" w:hAnsi="Times New Roman" w:cs="Times New Roman"/>
            <w:b/>
            <w:noProof/>
          </w:rPr>
          <w:t>Evaluation</w:t>
        </w:r>
        <w:r w:rsidR="00943284" w:rsidRPr="00943284">
          <w:rPr>
            <w:rStyle w:val="Hypertextovprepojenie"/>
            <w:rFonts w:ascii="Times New Roman" w:hAnsi="Times New Roman" w:cs="Times New Roman"/>
            <w:b/>
            <w:noProof/>
          </w:rPr>
          <w:t xml:space="preserve"> of cooperation with</w:t>
        </w:r>
        <w:r w:rsidR="0007463C">
          <w:rPr>
            <w:rStyle w:val="Hypertextovprepojenie"/>
            <w:rFonts w:ascii="Times New Roman" w:hAnsi="Times New Roman" w:cs="Times New Roman"/>
            <w:b/>
            <w:noProof/>
          </w:rPr>
          <w:t xml:space="preserve"> the national counterparts</w:t>
        </w:r>
        <w:r w:rsidR="00943284" w:rsidRPr="00943284">
          <w:rPr>
            <w:rFonts w:ascii="Times New Roman" w:hAnsi="Times New Roman" w:cs="Times New Roman"/>
            <w:b/>
            <w:noProof/>
            <w:webHidden/>
          </w:rPr>
          <w:tab/>
        </w:r>
      </w:hyperlink>
      <w:r w:rsidR="00D46154">
        <w:rPr>
          <w:rFonts w:ascii="Times New Roman" w:hAnsi="Times New Roman" w:cs="Times New Roman"/>
          <w:b/>
          <w:noProof/>
        </w:rPr>
        <w:t>23</w:t>
      </w:r>
    </w:p>
    <w:p w:rsidR="00943284" w:rsidRPr="00943284" w:rsidRDefault="00CB5222" w:rsidP="00943284">
      <w:pPr>
        <w:pStyle w:val="Obsah3"/>
        <w:tabs>
          <w:tab w:val="right" w:leader="dot" w:pos="9060"/>
        </w:tabs>
        <w:ind w:left="0"/>
        <w:rPr>
          <w:rFonts w:ascii="Times New Roman" w:eastAsia="Times New Roman" w:hAnsi="Times New Roman" w:cs="Times New Roman"/>
          <w:b/>
          <w:noProof/>
          <w:lang w:eastAsia="sk-SK"/>
        </w:rPr>
      </w:pPr>
      <w:hyperlink w:anchor="_Toc382141694" w:history="1">
        <w:r w:rsidR="00943284" w:rsidRPr="00943284">
          <w:rPr>
            <w:rStyle w:val="Hypertextovprepojenie"/>
            <w:rFonts w:ascii="Times New Roman" w:hAnsi="Times New Roman" w:cs="Times New Roman"/>
            <w:b/>
            <w:noProof/>
          </w:rPr>
          <w:t>Contact d</w:t>
        </w:r>
        <w:r w:rsidR="0007463C">
          <w:rPr>
            <w:rStyle w:val="Hypertextovprepojenie"/>
            <w:rFonts w:ascii="Times New Roman" w:hAnsi="Times New Roman" w:cs="Times New Roman"/>
            <w:b/>
            <w:noProof/>
          </w:rPr>
          <w:t>etails</w:t>
        </w:r>
        <w:r w:rsidR="00943284" w:rsidRPr="00943284">
          <w:rPr>
            <w:rFonts w:ascii="Times New Roman" w:hAnsi="Times New Roman" w:cs="Times New Roman"/>
            <w:b/>
            <w:noProof/>
            <w:webHidden/>
          </w:rPr>
          <w:tab/>
        </w:r>
      </w:hyperlink>
      <w:r w:rsidR="00D46154">
        <w:rPr>
          <w:rFonts w:ascii="Times New Roman" w:hAnsi="Times New Roman" w:cs="Times New Roman"/>
          <w:b/>
          <w:noProof/>
        </w:rPr>
        <w:t>24</w:t>
      </w:r>
    </w:p>
    <w:p w:rsidR="00943284" w:rsidRPr="00943284" w:rsidRDefault="00943284" w:rsidP="00943284">
      <w:pPr>
        <w:rPr>
          <w:rFonts w:ascii="Times New Roman" w:hAnsi="Times New Roman" w:cs="Times New Roman"/>
          <w:sz w:val="24"/>
          <w:szCs w:val="24"/>
        </w:rPr>
      </w:pPr>
      <w:r w:rsidRPr="00943284">
        <w:rPr>
          <w:rFonts w:ascii="Times New Roman" w:hAnsi="Times New Roman" w:cs="Times New Roman"/>
          <w:b/>
          <w:sz w:val="24"/>
          <w:szCs w:val="24"/>
        </w:rPr>
        <w:fldChar w:fldCharType="end"/>
      </w:r>
    </w:p>
    <w:p w:rsidR="00943284" w:rsidRPr="00943284" w:rsidRDefault="00943284" w:rsidP="00943284">
      <w:pPr>
        <w:rPr>
          <w:rFonts w:ascii="Times New Roman" w:hAnsi="Times New Roman" w:cs="Times New Roman"/>
          <w:sz w:val="24"/>
          <w:szCs w:val="24"/>
        </w:rPr>
      </w:pPr>
    </w:p>
    <w:p w:rsidR="00943284" w:rsidRPr="00943284" w:rsidRDefault="00943284" w:rsidP="00943284">
      <w:pPr>
        <w:rPr>
          <w:rFonts w:ascii="Times New Roman" w:hAnsi="Times New Roman" w:cs="Times New Roman"/>
          <w:sz w:val="24"/>
          <w:szCs w:val="24"/>
        </w:rPr>
      </w:pPr>
    </w:p>
    <w:p w:rsidR="00943284" w:rsidRPr="00943284" w:rsidRDefault="00943284" w:rsidP="00943284">
      <w:pPr>
        <w:rPr>
          <w:rFonts w:ascii="Times New Roman" w:hAnsi="Times New Roman" w:cs="Times New Roman"/>
          <w:sz w:val="24"/>
          <w:szCs w:val="24"/>
        </w:rPr>
      </w:pPr>
    </w:p>
    <w:p w:rsidR="00943284" w:rsidRPr="00943284" w:rsidRDefault="00943284" w:rsidP="00943284">
      <w:pPr>
        <w:rPr>
          <w:rFonts w:ascii="Times New Roman" w:hAnsi="Times New Roman" w:cs="Times New Roman"/>
          <w:sz w:val="24"/>
          <w:szCs w:val="24"/>
        </w:rPr>
      </w:pPr>
    </w:p>
    <w:p w:rsidR="00943284" w:rsidRPr="00943284" w:rsidRDefault="00943284" w:rsidP="00943284">
      <w:pPr>
        <w:rPr>
          <w:rFonts w:ascii="Times New Roman" w:hAnsi="Times New Roman" w:cs="Times New Roman"/>
          <w:sz w:val="24"/>
          <w:szCs w:val="24"/>
        </w:rPr>
      </w:pPr>
    </w:p>
    <w:p w:rsidR="00943284" w:rsidRPr="00943284" w:rsidRDefault="00943284" w:rsidP="00943284">
      <w:pPr>
        <w:rPr>
          <w:rFonts w:ascii="Times New Roman" w:hAnsi="Times New Roman" w:cs="Times New Roman"/>
          <w:sz w:val="24"/>
          <w:szCs w:val="24"/>
        </w:rPr>
      </w:pPr>
    </w:p>
    <w:p w:rsidR="00943284" w:rsidRPr="00943284" w:rsidRDefault="00943284" w:rsidP="00943284">
      <w:pPr>
        <w:rPr>
          <w:rFonts w:ascii="Times New Roman" w:hAnsi="Times New Roman" w:cs="Times New Roman"/>
          <w:sz w:val="24"/>
          <w:szCs w:val="24"/>
        </w:rPr>
      </w:pPr>
    </w:p>
    <w:p w:rsidR="00943284" w:rsidRDefault="00943284" w:rsidP="00943284">
      <w:pPr>
        <w:rPr>
          <w:rFonts w:ascii="Times New Roman" w:hAnsi="Times New Roman" w:cs="Times New Roman"/>
          <w:sz w:val="24"/>
          <w:szCs w:val="24"/>
        </w:rPr>
      </w:pPr>
    </w:p>
    <w:p w:rsidR="00F77C8D" w:rsidRDefault="00F77C8D" w:rsidP="00943284">
      <w:pPr>
        <w:rPr>
          <w:rFonts w:ascii="Times New Roman" w:hAnsi="Times New Roman" w:cs="Times New Roman"/>
          <w:sz w:val="24"/>
          <w:szCs w:val="24"/>
        </w:rPr>
      </w:pPr>
    </w:p>
    <w:p w:rsidR="00943284" w:rsidRPr="00943284" w:rsidRDefault="00943284" w:rsidP="00943284">
      <w:pPr>
        <w:pStyle w:val="Nadpis1"/>
        <w:ind w:firstLine="720"/>
        <w:rPr>
          <w:rFonts w:ascii="Times New Roman" w:hAnsi="Times New Roman" w:cs="Times New Roman"/>
          <w:sz w:val="28"/>
          <w:szCs w:val="28"/>
        </w:rPr>
      </w:pPr>
      <w:r w:rsidRPr="00943284">
        <w:rPr>
          <w:rFonts w:ascii="Times New Roman" w:hAnsi="Times New Roman" w:cs="Times New Roman"/>
          <w:sz w:val="28"/>
          <w:szCs w:val="28"/>
        </w:rPr>
        <w:t>Foreword</w:t>
      </w:r>
    </w:p>
    <w:p w:rsidR="00943284" w:rsidRPr="00943284" w:rsidRDefault="00943284" w:rsidP="00943284">
      <w:pPr>
        <w:spacing w:after="0" w:line="240" w:lineRule="auto"/>
        <w:jc w:val="both"/>
        <w:rPr>
          <w:rFonts w:ascii="Times New Roman" w:hAnsi="Times New Roman" w:cs="Times New Roman"/>
          <w:sz w:val="24"/>
          <w:szCs w:val="24"/>
        </w:rPr>
      </w:pPr>
    </w:p>
    <w:p w:rsidR="00943284" w:rsidRPr="00943284" w:rsidRDefault="00943284" w:rsidP="00943284">
      <w:pPr>
        <w:jc w:val="both"/>
        <w:rPr>
          <w:rFonts w:ascii="Times New Roman" w:hAnsi="Times New Roman" w:cs="Times New Roman"/>
          <w:b/>
          <w:sz w:val="24"/>
          <w:szCs w:val="24"/>
        </w:rPr>
      </w:pPr>
      <w:r w:rsidRPr="00943284">
        <w:rPr>
          <w:rFonts w:ascii="Times New Roman" w:hAnsi="Times New Roman" w:cs="Times New Roman"/>
          <w:sz w:val="24"/>
          <w:szCs w:val="24"/>
        </w:rPr>
        <w:t xml:space="preserve">           By producing</w:t>
      </w:r>
      <w:r>
        <w:rPr>
          <w:rFonts w:ascii="Times New Roman" w:hAnsi="Times New Roman" w:cs="Times New Roman"/>
          <w:sz w:val="24"/>
          <w:szCs w:val="24"/>
        </w:rPr>
        <w:t xml:space="preserve"> and </w:t>
      </w:r>
      <w:r w:rsidRPr="00943284">
        <w:rPr>
          <w:rFonts w:ascii="Times New Roman" w:hAnsi="Times New Roman" w:cs="Times New Roman"/>
          <w:sz w:val="24"/>
          <w:szCs w:val="24"/>
        </w:rPr>
        <w:t>publis</w:t>
      </w:r>
      <w:r>
        <w:rPr>
          <w:rFonts w:ascii="Times New Roman" w:hAnsi="Times New Roman" w:cs="Times New Roman"/>
          <w:sz w:val="24"/>
          <w:szCs w:val="24"/>
        </w:rPr>
        <w:t>hing</w:t>
      </w:r>
      <w:r w:rsidRPr="00943284">
        <w:rPr>
          <w:rFonts w:ascii="Times New Roman" w:hAnsi="Times New Roman" w:cs="Times New Roman"/>
          <w:sz w:val="24"/>
          <w:szCs w:val="24"/>
        </w:rPr>
        <w:t xml:space="preserve"> the annual report the Financial Intelligence Unit of National Criminal Agency of Presidium of Police Force performs its statutory tasks of § 27 art. 1 Act No.: 297/2008 Coll. on the Prevention of Legalization of Proceeds of Criminal Activity and Terrorist Financing and on Amendments and Supplements to Certain Acts. The specified act also determines </w:t>
      </w:r>
      <w:r>
        <w:rPr>
          <w:rFonts w:ascii="Times New Roman" w:hAnsi="Times New Roman" w:cs="Times New Roman"/>
          <w:sz w:val="24"/>
          <w:szCs w:val="24"/>
        </w:rPr>
        <w:t>the minimal standard</w:t>
      </w:r>
      <w:r w:rsidRPr="00943284">
        <w:rPr>
          <w:rFonts w:ascii="Times New Roman" w:hAnsi="Times New Roman" w:cs="Times New Roman"/>
          <w:sz w:val="24"/>
          <w:szCs w:val="24"/>
        </w:rPr>
        <w:t xml:space="preserve"> of criteria the report should contain.  </w:t>
      </w:r>
    </w:p>
    <w:p w:rsidR="00943284" w:rsidRPr="00943284" w:rsidRDefault="00943284" w:rsidP="00943284">
      <w:pPr>
        <w:spacing w:before="100" w:beforeAutospacing="1" w:after="100" w:afterAutospacing="1" w:line="240" w:lineRule="auto"/>
        <w:ind w:firstLine="709"/>
        <w:jc w:val="both"/>
        <w:rPr>
          <w:rFonts w:ascii="Times New Roman" w:hAnsi="Times New Roman" w:cs="Times New Roman"/>
          <w:sz w:val="24"/>
          <w:szCs w:val="24"/>
        </w:rPr>
      </w:pPr>
      <w:r w:rsidRPr="00943284">
        <w:rPr>
          <w:rFonts w:ascii="Times New Roman" w:hAnsi="Times New Roman" w:cs="Times New Roman"/>
          <w:sz w:val="24"/>
          <w:szCs w:val="24"/>
        </w:rPr>
        <w:t>However the main purpose of the annual report isn´t only the</w:t>
      </w:r>
      <w:r w:rsidR="007205B5">
        <w:rPr>
          <w:rFonts w:ascii="Times New Roman" w:hAnsi="Times New Roman" w:cs="Times New Roman"/>
          <w:sz w:val="24"/>
          <w:szCs w:val="24"/>
        </w:rPr>
        <w:t xml:space="preserve"> </w:t>
      </w:r>
      <w:r w:rsidR="008202BB">
        <w:rPr>
          <w:rFonts w:ascii="Times New Roman" w:hAnsi="Times New Roman" w:cs="Times New Roman"/>
          <w:sz w:val="24"/>
          <w:szCs w:val="24"/>
        </w:rPr>
        <w:t>fulfilment</w:t>
      </w:r>
      <w:r w:rsidR="007205B5">
        <w:rPr>
          <w:rFonts w:ascii="Times New Roman" w:hAnsi="Times New Roman" w:cs="Times New Roman"/>
          <w:sz w:val="24"/>
          <w:szCs w:val="24"/>
        </w:rPr>
        <w:t xml:space="preserve"> of </w:t>
      </w:r>
      <w:r w:rsidRPr="00943284">
        <w:rPr>
          <w:rFonts w:ascii="Times New Roman" w:hAnsi="Times New Roman" w:cs="Times New Roman"/>
          <w:sz w:val="24"/>
          <w:szCs w:val="24"/>
        </w:rPr>
        <w:t xml:space="preserve"> legal duty but also the interests of F</w:t>
      </w:r>
      <w:r w:rsidR="00F77C8D">
        <w:rPr>
          <w:rFonts w:ascii="Times New Roman" w:hAnsi="Times New Roman" w:cs="Times New Roman"/>
          <w:sz w:val="24"/>
          <w:szCs w:val="24"/>
        </w:rPr>
        <w:t>inancial Intelligence Unit</w:t>
      </w:r>
      <w:r>
        <w:rPr>
          <w:rFonts w:ascii="Times New Roman" w:hAnsi="Times New Roman" w:cs="Times New Roman"/>
          <w:sz w:val="24"/>
          <w:szCs w:val="24"/>
        </w:rPr>
        <w:t>,</w:t>
      </w:r>
      <w:r w:rsidRPr="00943284">
        <w:rPr>
          <w:rFonts w:ascii="Times New Roman" w:hAnsi="Times New Roman" w:cs="Times New Roman"/>
          <w:sz w:val="24"/>
          <w:szCs w:val="24"/>
        </w:rPr>
        <w:t xml:space="preserve"> at least </w:t>
      </w:r>
      <w:r w:rsidR="00E3564E">
        <w:rPr>
          <w:rFonts w:ascii="Times New Roman" w:hAnsi="Times New Roman" w:cs="Times New Roman"/>
          <w:sz w:val="24"/>
          <w:szCs w:val="24"/>
        </w:rPr>
        <w:t>once</w:t>
      </w:r>
      <w:r w:rsidRPr="00943284">
        <w:rPr>
          <w:rFonts w:ascii="Times New Roman" w:hAnsi="Times New Roman" w:cs="Times New Roman"/>
          <w:sz w:val="24"/>
          <w:szCs w:val="24"/>
        </w:rPr>
        <w:t xml:space="preserve"> in a year</w:t>
      </w:r>
      <w:r>
        <w:rPr>
          <w:rFonts w:ascii="Times New Roman" w:hAnsi="Times New Roman" w:cs="Times New Roman"/>
          <w:sz w:val="24"/>
          <w:szCs w:val="24"/>
        </w:rPr>
        <w:t>,</w:t>
      </w:r>
      <w:r w:rsidRPr="00943284">
        <w:rPr>
          <w:rFonts w:ascii="Times New Roman" w:hAnsi="Times New Roman" w:cs="Times New Roman"/>
          <w:sz w:val="24"/>
          <w:szCs w:val="24"/>
        </w:rPr>
        <w:t xml:space="preserve"> complex</w:t>
      </w:r>
      <w:r w:rsidR="008202BB">
        <w:rPr>
          <w:rFonts w:ascii="Times New Roman" w:hAnsi="Times New Roman" w:cs="Times New Roman"/>
          <w:sz w:val="24"/>
          <w:szCs w:val="24"/>
        </w:rPr>
        <w:t>ly</w:t>
      </w:r>
      <w:r w:rsidRPr="00943284">
        <w:rPr>
          <w:rFonts w:ascii="Times New Roman" w:hAnsi="Times New Roman" w:cs="Times New Roman"/>
          <w:sz w:val="24"/>
          <w:szCs w:val="24"/>
        </w:rPr>
        <w:t xml:space="preserve"> evaluate the lev</w:t>
      </w:r>
      <w:r>
        <w:rPr>
          <w:rFonts w:ascii="Times New Roman" w:hAnsi="Times New Roman" w:cs="Times New Roman"/>
          <w:sz w:val="24"/>
          <w:szCs w:val="24"/>
        </w:rPr>
        <w:t>el of fulfilment of ta</w:t>
      </w:r>
      <w:r w:rsidRPr="00943284">
        <w:rPr>
          <w:rFonts w:ascii="Times New Roman" w:hAnsi="Times New Roman" w:cs="Times New Roman"/>
          <w:sz w:val="24"/>
          <w:szCs w:val="24"/>
        </w:rPr>
        <w:t>s</w:t>
      </w:r>
      <w:r>
        <w:rPr>
          <w:rFonts w:ascii="Times New Roman" w:hAnsi="Times New Roman" w:cs="Times New Roman"/>
          <w:sz w:val="24"/>
          <w:szCs w:val="24"/>
        </w:rPr>
        <w:t>ks</w:t>
      </w:r>
      <w:r w:rsidRPr="00943284">
        <w:rPr>
          <w:rFonts w:ascii="Times New Roman" w:hAnsi="Times New Roman" w:cs="Times New Roman"/>
          <w:sz w:val="24"/>
          <w:szCs w:val="24"/>
        </w:rPr>
        <w:t xml:space="preserve"> in order to proceed especially in the area of combating money l</w:t>
      </w:r>
      <w:r>
        <w:rPr>
          <w:rFonts w:ascii="Times New Roman" w:hAnsi="Times New Roman" w:cs="Times New Roman"/>
          <w:sz w:val="24"/>
          <w:szCs w:val="24"/>
        </w:rPr>
        <w:t>a</w:t>
      </w:r>
      <w:r w:rsidRPr="00943284">
        <w:rPr>
          <w:rFonts w:ascii="Times New Roman" w:hAnsi="Times New Roman" w:cs="Times New Roman"/>
          <w:sz w:val="24"/>
          <w:szCs w:val="24"/>
        </w:rPr>
        <w:t>undering and terrorist financing.</w:t>
      </w:r>
    </w:p>
    <w:p w:rsidR="00943284" w:rsidRPr="00943284" w:rsidRDefault="00943284" w:rsidP="00943284">
      <w:pPr>
        <w:spacing w:before="100" w:beforeAutospacing="1" w:after="100" w:afterAutospacing="1" w:line="240" w:lineRule="auto"/>
        <w:jc w:val="both"/>
        <w:rPr>
          <w:rFonts w:ascii="Times New Roman" w:hAnsi="Times New Roman" w:cs="Times New Roman"/>
          <w:sz w:val="24"/>
          <w:szCs w:val="24"/>
        </w:rPr>
      </w:pPr>
      <w:r w:rsidRPr="00943284">
        <w:rPr>
          <w:rFonts w:ascii="Times New Roman" w:hAnsi="Times New Roman" w:cs="Times New Roman"/>
          <w:sz w:val="24"/>
          <w:szCs w:val="24"/>
        </w:rPr>
        <w:t xml:space="preserve">           The </w:t>
      </w:r>
      <w:r w:rsidR="00F77C8D">
        <w:rPr>
          <w:rFonts w:ascii="Times New Roman" w:hAnsi="Times New Roman" w:cs="Times New Roman"/>
          <w:sz w:val="24"/>
          <w:szCs w:val="24"/>
        </w:rPr>
        <w:t>Financial Intelligence Unit</w:t>
      </w:r>
      <w:r w:rsidRPr="00943284">
        <w:rPr>
          <w:rFonts w:ascii="Times New Roman" w:hAnsi="Times New Roman" w:cs="Times New Roman"/>
          <w:sz w:val="24"/>
          <w:szCs w:val="24"/>
        </w:rPr>
        <w:t xml:space="preserve"> results summarized in the annual report suggest the success</w:t>
      </w:r>
      <w:r>
        <w:rPr>
          <w:rFonts w:ascii="Times New Roman" w:hAnsi="Times New Roman" w:cs="Times New Roman"/>
          <w:sz w:val="24"/>
          <w:szCs w:val="24"/>
        </w:rPr>
        <w:t>ful but also the less successfu</w:t>
      </w:r>
      <w:r w:rsidRPr="00943284">
        <w:rPr>
          <w:rFonts w:ascii="Times New Roman" w:hAnsi="Times New Roman" w:cs="Times New Roman"/>
          <w:sz w:val="24"/>
          <w:szCs w:val="24"/>
        </w:rPr>
        <w:t>l activities. At the same time we should consider and take into account that FSJ performs also tasks and activities without statistics duty. Mainly activities concerning</w:t>
      </w:r>
      <w:r>
        <w:rPr>
          <w:rFonts w:ascii="Times New Roman" w:hAnsi="Times New Roman" w:cs="Times New Roman"/>
          <w:sz w:val="24"/>
          <w:szCs w:val="24"/>
        </w:rPr>
        <w:t xml:space="preserve"> </w:t>
      </w:r>
      <w:r w:rsidRPr="00943284">
        <w:rPr>
          <w:rFonts w:ascii="Times New Roman" w:hAnsi="Times New Roman" w:cs="Times New Roman"/>
          <w:sz w:val="24"/>
          <w:szCs w:val="24"/>
        </w:rPr>
        <w:t xml:space="preserve">the sustainment of the position of </w:t>
      </w:r>
      <w:r w:rsidR="00F77C8D">
        <w:rPr>
          <w:rFonts w:ascii="Times New Roman" w:hAnsi="Times New Roman" w:cs="Times New Roman"/>
          <w:sz w:val="24"/>
          <w:szCs w:val="24"/>
        </w:rPr>
        <w:t>Financial Intelligence Unit</w:t>
      </w:r>
      <w:r>
        <w:rPr>
          <w:rFonts w:ascii="Times New Roman" w:hAnsi="Times New Roman" w:cs="Times New Roman"/>
          <w:sz w:val="24"/>
          <w:szCs w:val="24"/>
        </w:rPr>
        <w:t>,</w:t>
      </w:r>
      <w:r w:rsidRPr="00943284">
        <w:rPr>
          <w:rFonts w:ascii="Times New Roman" w:hAnsi="Times New Roman" w:cs="Times New Roman"/>
          <w:sz w:val="24"/>
          <w:szCs w:val="24"/>
        </w:rPr>
        <w:t xml:space="preserve"> as the central unit in the framework of measures against money l</w:t>
      </w:r>
      <w:r>
        <w:rPr>
          <w:rFonts w:ascii="Times New Roman" w:hAnsi="Times New Roman" w:cs="Times New Roman"/>
          <w:sz w:val="24"/>
          <w:szCs w:val="24"/>
        </w:rPr>
        <w:t>a</w:t>
      </w:r>
      <w:r w:rsidRPr="00943284">
        <w:rPr>
          <w:rFonts w:ascii="Times New Roman" w:hAnsi="Times New Roman" w:cs="Times New Roman"/>
          <w:sz w:val="24"/>
          <w:szCs w:val="24"/>
        </w:rPr>
        <w:t xml:space="preserve">undering and terrorist financing in Slovakia. </w:t>
      </w:r>
    </w:p>
    <w:p w:rsidR="00943284" w:rsidRPr="00943284" w:rsidRDefault="00943284" w:rsidP="00943284">
      <w:pPr>
        <w:ind w:firstLine="708"/>
        <w:jc w:val="both"/>
        <w:rPr>
          <w:rFonts w:ascii="Times New Roman" w:hAnsi="Times New Roman" w:cs="Times New Roman"/>
          <w:sz w:val="24"/>
          <w:szCs w:val="24"/>
        </w:rPr>
      </w:pPr>
      <w:r w:rsidRPr="00943284">
        <w:rPr>
          <w:rFonts w:ascii="Times New Roman" w:hAnsi="Times New Roman" w:cs="Times New Roman"/>
          <w:sz w:val="24"/>
          <w:szCs w:val="24"/>
        </w:rPr>
        <w:t xml:space="preserve">For all the </w:t>
      </w:r>
      <w:r w:rsidR="008202BB" w:rsidRPr="00943284">
        <w:rPr>
          <w:rFonts w:ascii="Times New Roman" w:hAnsi="Times New Roman" w:cs="Times New Roman"/>
          <w:sz w:val="24"/>
          <w:szCs w:val="24"/>
        </w:rPr>
        <w:t>success</w:t>
      </w:r>
      <w:r w:rsidRPr="00943284">
        <w:rPr>
          <w:rFonts w:ascii="Times New Roman" w:hAnsi="Times New Roman" w:cs="Times New Roman"/>
          <w:sz w:val="24"/>
          <w:szCs w:val="24"/>
        </w:rPr>
        <w:t xml:space="preserve"> achieved in 2013, many thanks belong to all, who actively participated and cooperated with </w:t>
      </w:r>
      <w:r w:rsidR="00F77C8D">
        <w:rPr>
          <w:rFonts w:ascii="Times New Roman" w:hAnsi="Times New Roman" w:cs="Times New Roman"/>
          <w:sz w:val="24"/>
          <w:szCs w:val="24"/>
        </w:rPr>
        <w:t>Financial Intelligence Unit</w:t>
      </w:r>
      <w:r w:rsidRPr="00943284">
        <w:rPr>
          <w:rFonts w:ascii="Times New Roman" w:hAnsi="Times New Roman" w:cs="Times New Roman"/>
          <w:sz w:val="24"/>
          <w:szCs w:val="24"/>
        </w:rPr>
        <w:t xml:space="preserve"> in 2013.</w:t>
      </w:r>
    </w:p>
    <w:p w:rsidR="00943284" w:rsidRPr="00943284" w:rsidRDefault="00943284" w:rsidP="00943284">
      <w:pPr>
        <w:spacing w:before="100" w:beforeAutospacing="1" w:after="0" w:line="240" w:lineRule="auto"/>
        <w:jc w:val="both"/>
        <w:rPr>
          <w:rFonts w:ascii="Times New Roman" w:hAnsi="Times New Roman" w:cs="Times New Roman"/>
          <w:sz w:val="24"/>
          <w:szCs w:val="24"/>
        </w:rPr>
      </w:pPr>
    </w:p>
    <w:p w:rsidR="00943284" w:rsidRPr="00943284" w:rsidRDefault="0024115F" w:rsidP="00943284">
      <w:pPr>
        <w:pStyle w:val="Nadpis1"/>
        <w:ind w:firstLine="720"/>
        <w:rPr>
          <w:rFonts w:ascii="Times New Roman" w:hAnsi="Times New Roman" w:cs="Times New Roman"/>
          <w:sz w:val="28"/>
          <w:szCs w:val="28"/>
        </w:rPr>
      </w:pPr>
      <w:bookmarkStart w:id="0" w:name="_Toc382129831"/>
      <w:bookmarkStart w:id="1" w:name="_Toc382129993"/>
      <w:bookmarkStart w:id="2" w:name="_Toc382130524"/>
      <w:bookmarkStart w:id="3" w:name="_Toc382141483"/>
      <w:bookmarkStart w:id="4" w:name="_Toc382141680"/>
      <w:r>
        <w:rPr>
          <w:rFonts w:ascii="Times New Roman" w:hAnsi="Times New Roman" w:cs="Times New Roman"/>
          <w:sz w:val="28"/>
          <w:szCs w:val="28"/>
        </w:rPr>
        <w:t>1. What is FSJ and what i</w:t>
      </w:r>
      <w:r w:rsidR="00943284" w:rsidRPr="00943284">
        <w:rPr>
          <w:rFonts w:ascii="Times New Roman" w:hAnsi="Times New Roman" w:cs="Times New Roman"/>
          <w:sz w:val="28"/>
          <w:szCs w:val="28"/>
        </w:rPr>
        <w:t>s its legislative framework?</w:t>
      </w:r>
      <w:bookmarkEnd w:id="0"/>
      <w:bookmarkEnd w:id="1"/>
      <w:bookmarkEnd w:id="2"/>
      <w:bookmarkEnd w:id="3"/>
      <w:bookmarkEnd w:id="4"/>
    </w:p>
    <w:p w:rsidR="00943284" w:rsidRPr="00943284" w:rsidRDefault="00943284" w:rsidP="00943284">
      <w:pPr>
        <w:spacing w:after="0" w:line="240" w:lineRule="auto"/>
        <w:rPr>
          <w:rFonts w:ascii="Times New Roman" w:hAnsi="Times New Roman" w:cs="Times New Roman"/>
          <w:sz w:val="24"/>
          <w:szCs w:val="24"/>
        </w:rPr>
      </w:pPr>
    </w:p>
    <w:p w:rsidR="00943284" w:rsidRPr="00943284" w:rsidRDefault="00F77C8D" w:rsidP="00943284">
      <w:pPr>
        <w:pStyle w:val="Normlnywebov"/>
        <w:shd w:val="clear" w:color="auto" w:fill="FFFFFF"/>
        <w:spacing w:before="0" w:beforeAutospacing="0"/>
        <w:ind w:firstLineChars="295" w:firstLine="708"/>
        <w:jc w:val="both"/>
        <w:rPr>
          <w:rFonts w:ascii="Times New Roman" w:hAnsi="Times New Roman" w:cs="Times New Roman"/>
        </w:rPr>
      </w:pPr>
      <w:r w:rsidRPr="00943284">
        <w:rPr>
          <w:rFonts w:ascii="Times New Roman" w:hAnsi="Times New Roman" w:cs="Times New Roman"/>
        </w:rPr>
        <w:t xml:space="preserve">Financial Intelligence Unit of National Criminal Agency of Presidium of Police Force (hereinafter referred to as "FSJ") </w:t>
      </w:r>
      <w:r w:rsidR="00943284" w:rsidRPr="00943284">
        <w:rPr>
          <w:rFonts w:ascii="Times New Roman" w:hAnsi="Times New Roman" w:cs="Times New Roman"/>
        </w:rPr>
        <w:t xml:space="preserve"> is part of a global network of F</w:t>
      </w:r>
      <w:r>
        <w:rPr>
          <w:rFonts w:ascii="Times New Roman" w:hAnsi="Times New Roman" w:cs="Times New Roman"/>
        </w:rPr>
        <w:t>inancial Intelligence Units</w:t>
      </w:r>
      <w:r w:rsidR="00943284" w:rsidRPr="00943284">
        <w:rPr>
          <w:rFonts w:ascii="Times New Roman" w:hAnsi="Times New Roman" w:cs="Times New Roman"/>
        </w:rPr>
        <w:t>, which main task is the application of international standar</w:t>
      </w:r>
      <w:r w:rsidR="00943284">
        <w:rPr>
          <w:rFonts w:ascii="Times New Roman" w:hAnsi="Times New Roman" w:cs="Times New Roman"/>
        </w:rPr>
        <w:t>d</w:t>
      </w:r>
      <w:r w:rsidR="00943284" w:rsidRPr="00943284">
        <w:rPr>
          <w:rFonts w:ascii="Times New Roman" w:hAnsi="Times New Roman" w:cs="Times New Roman"/>
        </w:rPr>
        <w:t xml:space="preserve">s of Financial action Task Force (hereinafter referred to as „FATF“) in the area of combating money </w:t>
      </w:r>
      <w:r w:rsidR="00943284">
        <w:rPr>
          <w:rFonts w:ascii="Times New Roman" w:hAnsi="Times New Roman" w:cs="Times New Roman"/>
        </w:rPr>
        <w:t>la</w:t>
      </w:r>
      <w:r w:rsidR="00943284" w:rsidRPr="00943284">
        <w:rPr>
          <w:rFonts w:ascii="Times New Roman" w:hAnsi="Times New Roman" w:cs="Times New Roman"/>
        </w:rPr>
        <w:t>undering and terrorist financing.</w:t>
      </w:r>
    </w:p>
    <w:p w:rsidR="00943284" w:rsidRPr="00943284" w:rsidRDefault="00943284" w:rsidP="00943284">
      <w:pPr>
        <w:pStyle w:val="Normlnywebov"/>
        <w:shd w:val="clear" w:color="auto" w:fill="FFFFFF"/>
        <w:spacing w:before="0" w:beforeAutospacing="0"/>
        <w:ind w:firstLineChars="295" w:firstLine="708"/>
        <w:jc w:val="both"/>
        <w:rPr>
          <w:rFonts w:ascii="Times New Roman" w:hAnsi="Times New Roman" w:cs="Times New Roman"/>
        </w:rPr>
      </w:pPr>
      <w:r w:rsidRPr="00943284">
        <w:rPr>
          <w:rFonts w:ascii="Times New Roman" w:hAnsi="Times New Roman" w:cs="Times New Roman"/>
        </w:rPr>
        <w:t>FSJ serves as a central national unit for the area of prevention, identification  and detection of money laundering and terrorist financing as defined in the provisions of the Act No.: 297/2008 Coll. on the Prevention of Legalization of Proceeds of Criminal Activity and Terrorist Financing and on Amendments and Supplements to Certain Acts.</w:t>
      </w:r>
    </w:p>
    <w:p w:rsidR="00943284" w:rsidRPr="00943284" w:rsidRDefault="00943284" w:rsidP="00943284">
      <w:pPr>
        <w:spacing w:before="100" w:beforeAutospacing="1" w:after="100" w:afterAutospacing="1" w:line="240" w:lineRule="auto"/>
        <w:ind w:firstLineChars="295" w:firstLine="708"/>
        <w:jc w:val="both"/>
        <w:rPr>
          <w:rFonts w:ascii="Times New Roman" w:hAnsi="Times New Roman" w:cs="Times New Roman"/>
          <w:sz w:val="24"/>
          <w:szCs w:val="24"/>
        </w:rPr>
      </w:pPr>
      <w:r w:rsidRPr="00943284">
        <w:rPr>
          <w:rFonts w:ascii="Times New Roman" w:hAnsi="Times New Roman" w:cs="Times New Roman"/>
          <w:sz w:val="24"/>
          <w:szCs w:val="24"/>
        </w:rPr>
        <w:t xml:space="preserve">FSJ consists of five departments: </w:t>
      </w:r>
    </w:p>
    <w:p w:rsidR="00943284" w:rsidRPr="00943284" w:rsidRDefault="00943284" w:rsidP="00943284">
      <w:pPr>
        <w:numPr>
          <w:ilvl w:val="0"/>
          <w:numId w:val="1"/>
        </w:numPr>
        <w:spacing w:before="100" w:beforeAutospacing="1" w:after="100" w:afterAutospacing="1" w:line="240" w:lineRule="auto"/>
        <w:jc w:val="both"/>
        <w:rPr>
          <w:rFonts w:ascii="Times New Roman" w:hAnsi="Times New Roman" w:cs="Times New Roman"/>
          <w:sz w:val="24"/>
          <w:szCs w:val="24"/>
        </w:rPr>
      </w:pPr>
      <w:r w:rsidRPr="00943284">
        <w:rPr>
          <w:rFonts w:ascii="Times New Roman" w:hAnsi="Times New Roman" w:cs="Times New Roman"/>
          <w:sz w:val="24"/>
          <w:szCs w:val="24"/>
        </w:rPr>
        <w:t>Unusual Transactions´ Department,</w:t>
      </w:r>
    </w:p>
    <w:p w:rsidR="00943284" w:rsidRPr="00943284" w:rsidRDefault="00943284" w:rsidP="00943284">
      <w:pPr>
        <w:numPr>
          <w:ilvl w:val="0"/>
          <w:numId w:val="1"/>
        </w:numPr>
        <w:spacing w:before="100" w:beforeAutospacing="1" w:after="100" w:afterAutospacing="1" w:line="240" w:lineRule="auto"/>
        <w:jc w:val="both"/>
        <w:rPr>
          <w:rFonts w:ascii="Times New Roman" w:hAnsi="Times New Roman" w:cs="Times New Roman"/>
          <w:sz w:val="24"/>
          <w:szCs w:val="24"/>
        </w:rPr>
      </w:pPr>
      <w:r w:rsidRPr="00943284">
        <w:rPr>
          <w:rFonts w:ascii="Times New Roman" w:hAnsi="Times New Roman" w:cs="Times New Roman"/>
          <w:sz w:val="24"/>
          <w:szCs w:val="24"/>
        </w:rPr>
        <w:t>Obliged Entities´ Control Department</w:t>
      </w:r>
    </w:p>
    <w:p w:rsidR="00943284" w:rsidRPr="00943284" w:rsidRDefault="00943284" w:rsidP="00943284">
      <w:pPr>
        <w:numPr>
          <w:ilvl w:val="0"/>
          <w:numId w:val="1"/>
        </w:numPr>
        <w:spacing w:before="100" w:beforeAutospacing="1" w:after="100" w:afterAutospacing="1" w:line="240" w:lineRule="auto"/>
        <w:jc w:val="both"/>
        <w:rPr>
          <w:rFonts w:ascii="Times New Roman" w:hAnsi="Times New Roman" w:cs="Times New Roman"/>
          <w:sz w:val="24"/>
          <w:szCs w:val="24"/>
        </w:rPr>
      </w:pPr>
      <w:r w:rsidRPr="00943284">
        <w:rPr>
          <w:rFonts w:ascii="Times New Roman" w:hAnsi="Times New Roman" w:cs="Times New Roman"/>
          <w:sz w:val="24"/>
          <w:szCs w:val="24"/>
        </w:rPr>
        <w:t>Property Check-up Department,</w:t>
      </w:r>
    </w:p>
    <w:p w:rsidR="00943284" w:rsidRPr="00943284" w:rsidRDefault="00943284" w:rsidP="00943284">
      <w:pPr>
        <w:numPr>
          <w:ilvl w:val="0"/>
          <w:numId w:val="1"/>
        </w:numPr>
        <w:spacing w:before="100" w:beforeAutospacing="1" w:after="100" w:afterAutospacing="1" w:line="240" w:lineRule="auto"/>
        <w:jc w:val="both"/>
        <w:rPr>
          <w:rFonts w:ascii="Times New Roman" w:hAnsi="Times New Roman" w:cs="Times New Roman"/>
          <w:sz w:val="24"/>
          <w:szCs w:val="24"/>
        </w:rPr>
      </w:pPr>
      <w:r w:rsidRPr="00943284">
        <w:rPr>
          <w:rFonts w:ascii="Times New Roman" w:hAnsi="Times New Roman" w:cs="Times New Roman"/>
          <w:sz w:val="24"/>
          <w:szCs w:val="24"/>
        </w:rPr>
        <w:t>International Cooperation Department,</w:t>
      </w:r>
    </w:p>
    <w:p w:rsidR="00943284" w:rsidRPr="00943284" w:rsidRDefault="00943284" w:rsidP="00943284">
      <w:pPr>
        <w:numPr>
          <w:ilvl w:val="0"/>
          <w:numId w:val="1"/>
        </w:numPr>
        <w:spacing w:before="100" w:beforeAutospacing="1" w:after="100" w:afterAutospacing="1" w:line="240" w:lineRule="auto"/>
        <w:jc w:val="both"/>
        <w:rPr>
          <w:rFonts w:ascii="Times New Roman" w:hAnsi="Times New Roman" w:cs="Times New Roman"/>
          <w:sz w:val="24"/>
          <w:szCs w:val="24"/>
        </w:rPr>
      </w:pPr>
      <w:r w:rsidRPr="00943284">
        <w:rPr>
          <w:rFonts w:ascii="Times New Roman" w:hAnsi="Times New Roman" w:cs="Times New Roman"/>
          <w:sz w:val="24"/>
          <w:szCs w:val="24"/>
        </w:rPr>
        <w:t>Analytical Department.</w:t>
      </w:r>
    </w:p>
    <w:p w:rsidR="00943284" w:rsidRPr="00943284" w:rsidRDefault="00943284" w:rsidP="00943284">
      <w:pPr>
        <w:spacing w:before="100" w:beforeAutospacing="1" w:after="100" w:afterAutospacing="1" w:line="240" w:lineRule="auto"/>
        <w:ind w:firstLineChars="295" w:firstLine="708"/>
        <w:jc w:val="both"/>
        <w:rPr>
          <w:rFonts w:ascii="Times New Roman" w:hAnsi="Times New Roman" w:cs="Times New Roman"/>
          <w:sz w:val="24"/>
          <w:szCs w:val="24"/>
        </w:rPr>
      </w:pPr>
      <w:r w:rsidRPr="00943284">
        <w:rPr>
          <w:rFonts w:ascii="Times New Roman" w:hAnsi="Times New Roman" w:cs="Times New Roman"/>
          <w:sz w:val="24"/>
          <w:szCs w:val="24"/>
        </w:rPr>
        <w:lastRenderedPageBreak/>
        <w:t>The legislative framework of FSJ is represented especially by the Act No.:. 297/2008 Coll. on the Prevention of Legalization of Proceeds of Criminal Activity and Terrorist Financing and on Amendments and Supplements to Certain Acts</w:t>
      </w:r>
      <w:r w:rsidR="00CB2B1A">
        <w:rPr>
          <w:rFonts w:ascii="Times New Roman" w:hAnsi="Times New Roman" w:cs="Times New Roman"/>
          <w:sz w:val="24"/>
          <w:szCs w:val="24"/>
        </w:rPr>
        <w:t xml:space="preserve"> </w:t>
      </w:r>
      <w:r w:rsidR="00CB2B1A" w:rsidRPr="00943284">
        <w:rPr>
          <w:rFonts w:ascii="Times New Roman" w:hAnsi="Times New Roman" w:cs="Times New Roman"/>
          <w:sz w:val="24"/>
          <w:szCs w:val="24"/>
        </w:rPr>
        <w:t>(hereinafter referred to as “</w:t>
      </w:r>
      <w:r w:rsidR="0034791F">
        <w:rPr>
          <w:rFonts w:ascii="Times New Roman" w:hAnsi="Times New Roman" w:cs="Times New Roman"/>
          <w:sz w:val="24"/>
          <w:szCs w:val="24"/>
        </w:rPr>
        <w:t>AML/CFT Law</w:t>
      </w:r>
      <w:r w:rsidR="00CB2B1A" w:rsidRPr="00943284">
        <w:rPr>
          <w:rFonts w:ascii="Times New Roman" w:hAnsi="Times New Roman" w:cs="Times New Roman"/>
          <w:sz w:val="24"/>
          <w:szCs w:val="24"/>
        </w:rPr>
        <w:t>”)</w:t>
      </w:r>
      <w:r w:rsidRPr="00943284">
        <w:rPr>
          <w:rFonts w:ascii="Times New Roman" w:hAnsi="Times New Roman" w:cs="Times New Roman"/>
          <w:sz w:val="24"/>
          <w:szCs w:val="24"/>
        </w:rPr>
        <w:t>, Act No.: 171/1998 Coll.  Act on Police Force on Amendments and Supplements to Certain Acts</w:t>
      </w:r>
      <w:r w:rsidR="00F77C8D">
        <w:rPr>
          <w:rFonts w:ascii="Times New Roman" w:hAnsi="Times New Roman" w:cs="Times New Roman"/>
          <w:sz w:val="24"/>
          <w:szCs w:val="24"/>
        </w:rPr>
        <w:t xml:space="preserve"> (hereinafter referred to as “Act on Police Force”)</w:t>
      </w:r>
      <w:r w:rsidRPr="00943284">
        <w:rPr>
          <w:rFonts w:ascii="Times New Roman" w:hAnsi="Times New Roman" w:cs="Times New Roman"/>
          <w:sz w:val="24"/>
          <w:szCs w:val="24"/>
        </w:rPr>
        <w:t>, Act No. 101/2010 Coll. on Proof of origin of the property (hereinafter referred to as “</w:t>
      </w:r>
      <w:r w:rsidR="0008130F">
        <w:rPr>
          <w:rFonts w:ascii="Times New Roman" w:hAnsi="Times New Roman" w:cs="Times New Roman"/>
          <w:sz w:val="24"/>
          <w:szCs w:val="24"/>
        </w:rPr>
        <w:t>Law</w:t>
      </w:r>
      <w:r w:rsidR="00F77C8D">
        <w:rPr>
          <w:rFonts w:ascii="Times New Roman" w:hAnsi="Times New Roman" w:cs="Times New Roman"/>
          <w:sz w:val="24"/>
          <w:szCs w:val="24"/>
        </w:rPr>
        <w:t xml:space="preserve"> on Proof of origin of the property</w:t>
      </w:r>
      <w:r w:rsidRPr="00943284">
        <w:rPr>
          <w:rFonts w:ascii="Times New Roman" w:hAnsi="Times New Roman" w:cs="Times New Roman"/>
          <w:sz w:val="24"/>
          <w:szCs w:val="24"/>
        </w:rPr>
        <w:t>”), European Union legal acts (decision of the Council of the European Union No.</w:t>
      </w:r>
      <w:r w:rsidR="00CB2B1A">
        <w:rPr>
          <w:rFonts w:ascii="Times New Roman" w:hAnsi="Times New Roman" w:cs="Times New Roman"/>
          <w:sz w:val="24"/>
          <w:szCs w:val="24"/>
        </w:rPr>
        <w:t xml:space="preserve"> </w:t>
      </w:r>
      <w:r w:rsidRPr="00943284">
        <w:rPr>
          <w:rFonts w:ascii="Times New Roman" w:hAnsi="Times New Roman" w:cs="Times New Roman"/>
          <w:sz w:val="24"/>
          <w:szCs w:val="24"/>
        </w:rPr>
        <w:t>2006/960/SVV on simplifying the exchange of information and intelligence between law enforcement authorities of the Member States of the European Union, decision of the Council of the European Union No. 2007/845/JHA on Cooperation between Asset Recovery Offices of the Member States in the field of searching and identification of proceeds of criminal activity or other property related to criminal activity and international conventions) and agreements to which the  Slovak Republic joined (especially Warsaw Convention, Vienna Convention and Palermo Convention).</w:t>
      </w:r>
    </w:p>
    <w:p w:rsidR="00943284" w:rsidRPr="00943284" w:rsidRDefault="00943284" w:rsidP="00943284">
      <w:pPr>
        <w:pStyle w:val="Nadpis1"/>
        <w:ind w:firstLine="720"/>
        <w:rPr>
          <w:rFonts w:ascii="Times New Roman" w:hAnsi="Times New Roman" w:cs="Times New Roman"/>
          <w:sz w:val="28"/>
          <w:szCs w:val="28"/>
        </w:rPr>
      </w:pPr>
      <w:bookmarkStart w:id="5" w:name="_Toc382129832"/>
      <w:bookmarkStart w:id="6" w:name="_Toc382129994"/>
      <w:bookmarkStart w:id="7" w:name="_Toc382130525"/>
      <w:bookmarkStart w:id="8" w:name="_Toc382141484"/>
      <w:bookmarkStart w:id="9" w:name="_Toc382141681"/>
      <w:r w:rsidRPr="00943284">
        <w:rPr>
          <w:rFonts w:ascii="Times New Roman" w:hAnsi="Times New Roman" w:cs="Times New Roman"/>
          <w:sz w:val="28"/>
          <w:szCs w:val="28"/>
        </w:rPr>
        <w:t xml:space="preserve">2. </w:t>
      </w:r>
      <w:bookmarkEnd w:id="5"/>
      <w:bookmarkEnd w:id="6"/>
      <w:bookmarkEnd w:id="7"/>
      <w:bookmarkEnd w:id="8"/>
      <w:bookmarkEnd w:id="9"/>
      <w:r w:rsidRPr="00943284">
        <w:rPr>
          <w:rFonts w:ascii="Times New Roman" w:hAnsi="Times New Roman" w:cs="Times New Roman"/>
          <w:sz w:val="28"/>
          <w:szCs w:val="28"/>
        </w:rPr>
        <w:t>Unusual transactions</w:t>
      </w:r>
    </w:p>
    <w:p w:rsidR="00943284" w:rsidRPr="00943284" w:rsidRDefault="00943284" w:rsidP="00943284">
      <w:pPr>
        <w:spacing w:after="0"/>
        <w:jc w:val="both"/>
        <w:rPr>
          <w:rFonts w:ascii="Times New Roman" w:hAnsi="Times New Roman" w:cs="Times New Roman"/>
          <w:sz w:val="24"/>
          <w:szCs w:val="24"/>
        </w:rPr>
      </w:pPr>
    </w:p>
    <w:p w:rsidR="004F5919" w:rsidRDefault="00943284" w:rsidP="009459AF">
      <w:pPr>
        <w:spacing w:after="0" w:line="240" w:lineRule="auto"/>
        <w:ind w:firstLine="709"/>
        <w:jc w:val="both"/>
        <w:rPr>
          <w:rFonts w:ascii="Times New Roman" w:hAnsi="Times New Roman" w:cs="Times New Roman"/>
          <w:sz w:val="24"/>
          <w:szCs w:val="24"/>
        </w:rPr>
      </w:pPr>
      <w:r w:rsidRPr="00943284">
        <w:rPr>
          <w:rFonts w:ascii="Times New Roman" w:hAnsi="Times New Roman" w:cs="Times New Roman"/>
          <w:sz w:val="24"/>
          <w:szCs w:val="24"/>
        </w:rPr>
        <w:t xml:space="preserve">To receive, register, analyse, evaluate and process reports of unusual transaction (hereinafter referred to as “UTR”) which obliged entities in the prescribed manner and in required scope </w:t>
      </w:r>
      <w:r w:rsidR="008202BB">
        <w:rPr>
          <w:rFonts w:ascii="Times New Roman" w:hAnsi="Times New Roman" w:cs="Times New Roman"/>
          <w:sz w:val="24"/>
          <w:szCs w:val="24"/>
        </w:rPr>
        <w:t xml:space="preserve">to </w:t>
      </w:r>
      <w:r w:rsidRPr="00943284">
        <w:rPr>
          <w:rFonts w:ascii="Times New Roman" w:hAnsi="Times New Roman" w:cs="Times New Roman"/>
          <w:sz w:val="24"/>
          <w:szCs w:val="24"/>
        </w:rPr>
        <w:t xml:space="preserve">report to FSJ is the main task of FSJ. Reports are reported </w:t>
      </w:r>
      <w:r w:rsidR="008202BB">
        <w:rPr>
          <w:rFonts w:ascii="Times New Roman" w:hAnsi="Times New Roman" w:cs="Times New Roman"/>
          <w:sz w:val="24"/>
          <w:szCs w:val="24"/>
        </w:rPr>
        <w:t>by</w:t>
      </w:r>
      <w:r w:rsidRPr="00943284">
        <w:rPr>
          <w:rFonts w:ascii="Times New Roman" w:hAnsi="Times New Roman" w:cs="Times New Roman"/>
          <w:sz w:val="24"/>
          <w:szCs w:val="24"/>
        </w:rPr>
        <w:t xml:space="preserve"> obliged entities on the form of UTRs, which were in </w:t>
      </w:r>
      <w:r w:rsidR="008202BB">
        <w:rPr>
          <w:rFonts w:ascii="Times New Roman" w:hAnsi="Times New Roman" w:cs="Times New Roman"/>
          <w:sz w:val="24"/>
          <w:szCs w:val="24"/>
        </w:rPr>
        <w:t xml:space="preserve">the </w:t>
      </w:r>
      <w:r w:rsidRPr="00943284">
        <w:rPr>
          <w:rFonts w:ascii="Times New Roman" w:hAnsi="Times New Roman" w:cs="Times New Roman"/>
          <w:sz w:val="24"/>
          <w:szCs w:val="24"/>
        </w:rPr>
        <w:t xml:space="preserve">past accepted by obliged entities upon the recommendation of FSJ. Thereafter the UTRs are analysed, evaluated and verified by FSJ so that in case of </w:t>
      </w:r>
      <w:r w:rsidR="008202BB">
        <w:rPr>
          <w:rFonts w:ascii="Times New Roman" w:hAnsi="Times New Roman" w:cs="Times New Roman"/>
          <w:sz w:val="24"/>
          <w:szCs w:val="24"/>
        </w:rPr>
        <w:t xml:space="preserve">a </w:t>
      </w:r>
      <w:r w:rsidRPr="00943284">
        <w:rPr>
          <w:rFonts w:ascii="Times New Roman" w:hAnsi="Times New Roman" w:cs="Times New Roman"/>
          <w:sz w:val="24"/>
          <w:szCs w:val="24"/>
        </w:rPr>
        <w:t xml:space="preserve">reasonable suspicion of committing a criminal offence, FSJ forwarded the information from UTRs added with information </w:t>
      </w:r>
      <w:r w:rsidR="008202BB">
        <w:rPr>
          <w:rFonts w:ascii="Times New Roman" w:hAnsi="Times New Roman" w:cs="Times New Roman"/>
          <w:sz w:val="24"/>
          <w:szCs w:val="24"/>
        </w:rPr>
        <w:t>acquired</w:t>
      </w:r>
      <w:r w:rsidRPr="00943284">
        <w:rPr>
          <w:rFonts w:ascii="Times New Roman" w:hAnsi="Times New Roman" w:cs="Times New Roman"/>
          <w:sz w:val="24"/>
          <w:szCs w:val="24"/>
        </w:rPr>
        <w:t xml:space="preserve"> by own activities to the competent law enforcement authorities, tax administrator</w:t>
      </w:r>
      <w:r w:rsidR="008202BB">
        <w:rPr>
          <w:rFonts w:ascii="Times New Roman" w:hAnsi="Times New Roman" w:cs="Times New Roman"/>
          <w:sz w:val="24"/>
          <w:szCs w:val="24"/>
        </w:rPr>
        <w:t>s</w:t>
      </w:r>
      <w:r w:rsidRPr="00943284">
        <w:rPr>
          <w:rFonts w:ascii="Times New Roman" w:hAnsi="Times New Roman" w:cs="Times New Roman"/>
          <w:sz w:val="24"/>
          <w:szCs w:val="24"/>
        </w:rPr>
        <w:t xml:space="preserve"> or to foreign </w:t>
      </w:r>
      <w:r w:rsidR="00F77C8D">
        <w:rPr>
          <w:rFonts w:ascii="Times New Roman" w:hAnsi="Times New Roman" w:cs="Times New Roman"/>
          <w:sz w:val="24"/>
          <w:szCs w:val="24"/>
        </w:rPr>
        <w:t>Financial Intelligence Units (hereinafter referred to as “</w:t>
      </w:r>
      <w:r w:rsidRPr="00943284">
        <w:rPr>
          <w:rFonts w:ascii="Times New Roman" w:hAnsi="Times New Roman" w:cs="Times New Roman"/>
          <w:sz w:val="24"/>
          <w:szCs w:val="24"/>
        </w:rPr>
        <w:t>FIU</w:t>
      </w:r>
      <w:r w:rsidR="00F77C8D">
        <w:rPr>
          <w:rFonts w:ascii="Times New Roman" w:hAnsi="Times New Roman" w:cs="Times New Roman"/>
          <w:sz w:val="24"/>
          <w:szCs w:val="24"/>
        </w:rPr>
        <w:t>”)</w:t>
      </w:r>
      <w:r w:rsidRPr="00943284">
        <w:rPr>
          <w:rFonts w:ascii="Times New Roman" w:hAnsi="Times New Roman" w:cs="Times New Roman"/>
          <w:sz w:val="24"/>
          <w:szCs w:val="24"/>
        </w:rPr>
        <w:t xml:space="preserve">. Considering the </w:t>
      </w:r>
      <w:r w:rsidR="008202BB">
        <w:rPr>
          <w:rFonts w:ascii="Times New Roman" w:hAnsi="Times New Roman" w:cs="Times New Roman"/>
          <w:sz w:val="24"/>
          <w:szCs w:val="24"/>
        </w:rPr>
        <w:t>above</w:t>
      </w:r>
      <w:r w:rsidRPr="00943284">
        <w:rPr>
          <w:rFonts w:ascii="Times New Roman" w:hAnsi="Times New Roman" w:cs="Times New Roman"/>
          <w:sz w:val="24"/>
          <w:szCs w:val="24"/>
        </w:rPr>
        <w:t xml:space="preserve"> mentioned information is passed to the competent law enforcement authorities</w:t>
      </w:r>
      <w:r w:rsidR="00F77C8D">
        <w:rPr>
          <w:rFonts w:ascii="Times New Roman" w:hAnsi="Times New Roman" w:cs="Times New Roman"/>
          <w:sz w:val="24"/>
          <w:szCs w:val="24"/>
        </w:rPr>
        <w:t xml:space="preserve"> (hereinafter referred to as “LEAs”)</w:t>
      </w:r>
      <w:r w:rsidRPr="00943284">
        <w:rPr>
          <w:rFonts w:ascii="Times New Roman" w:hAnsi="Times New Roman" w:cs="Times New Roman"/>
          <w:sz w:val="24"/>
          <w:szCs w:val="24"/>
        </w:rPr>
        <w:t xml:space="preserve">, competent units of the Police Force, defined </w:t>
      </w:r>
      <w:r w:rsidR="008202BB">
        <w:rPr>
          <w:rFonts w:ascii="Times New Roman" w:hAnsi="Times New Roman" w:cs="Times New Roman"/>
          <w:sz w:val="24"/>
          <w:szCs w:val="24"/>
        </w:rPr>
        <w:t>by the Act on the Police Force matter</w:t>
      </w:r>
      <w:r w:rsidRPr="00943284">
        <w:rPr>
          <w:rFonts w:ascii="Times New Roman" w:hAnsi="Times New Roman" w:cs="Times New Roman"/>
          <w:sz w:val="24"/>
          <w:szCs w:val="24"/>
        </w:rPr>
        <w:t>, competent Financial administrator of Slovakia or to foreign FIU. In cases where within verification of report w</w:t>
      </w:r>
      <w:r w:rsidR="008202BB">
        <w:rPr>
          <w:rFonts w:ascii="Times New Roman" w:hAnsi="Times New Roman" w:cs="Times New Roman"/>
          <w:sz w:val="24"/>
          <w:szCs w:val="24"/>
        </w:rPr>
        <w:t>eren´t</w:t>
      </w:r>
      <w:r w:rsidRPr="00943284">
        <w:rPr>
          <w:rFonts w:ascii="Times New Roman" w:hAnsi="Times New Roman" w:cs="Times New Roman"/>
          <w:sz w:val="24"/>
          <w:szCs w:val="24"/>
        </w:rPr>
        <w:t xml:space="preserve"> found out any facts that would be necessary to be forwarded to subjects determined in § 26 art. 2 </w:t>
      </w:r>
      <w:r w:rsidR="00DD1CB5">
        <w:rPr>
          <w:rFonts w:ascii="Times New Roman" w:hAnsi="Times New Roman" w:cs="Times New Roman"/>
          <w:sz w:val="24"/>
          <w:szCs w:val="24"/>
        </w:rPr>
        <w:t>AML/CFT Law</w:t>
      </w:r>
      <w:r w:rsidR="008202BB">
        <w:rPr>
          <w:rFonts w:ascii="Times New Roman" w:hAnsi="Times New Roman" w:cs="Times New Roman"/>
          <w:sz w:val="24"/>
          <w:szCs w:val="24"/>
        </w:rPr>
        <w:t>, this</w:t>
      </w:r>
      <w:r w:rsidRPr="00943284">
        <w:rPr>
          <w:rFonts w:ascii="Times New Roman" w:hAnsi="Times New Roman" w:cs="Times New Roman"/>
          <w:sz w:val="24"/>
          <w:szCs w:val="24"/>
        </w:rPr>
        <w:t xml:space="preserve"> information is insert</w:t>
      </w:r>
      <w:r w:rsidR="008202BB">
        <w:rPr>
          <w:rFonts w:ascii="Times New Roman" w:hAnsi="Times New Roman" w:cs="Times New Roman"/>
          <w:sz w:val="24"/>
          <w:szCs w:val="24"/>
        </w:rPr>
        <w:t>ed</w:t>
      </w:r>
      <w:r w:rsidRPr="00943284">
        <w:rPr>
          <w:rFonts w:ascii="Times New Roman" w:hAnsi="Times New Roman" w:cs="Times New Roman"/>
          <w:sz w:val="24"/>
          <w:szCs w:val="24"/>
        </w:rPr>
        <w:t xml:space="preserve"> into an electronic database FSJ for its possible further use. In many cases, the information stored in the database </w:t>
      </w:r>
      <w:r w:rsidR="008202BB">
        <w:rPr>
          <w:rFonts w:ascii="Times New Roman" w:hAnsi="Times New Roman" w:cs="Times New Roman"/>
          <w:sz w:val="24"/>
          <w:szCs w:val="24"/>
        </w:rPr>
        <w:t xml:space="preserve">of </w:t>
      </w:r>
      <w:r w:rsidRPr="00943284">
        <w:rPr>
          <w:rFonts w:ascii="Times New Roman" w:hAnsi="Times New Roman" w:cs="Times New Roman"/>
          <w:sz w:val="24"/>
          <w:szCs w:val="24"/>
        </w:rPr>
        <w:t>FSJ was used later within the verification of other cases.</w:t>
      </w:r>
    </w:p>
    <w:p w:rsidR="00943284" w:rsidRPr="00943284" w:rsidRDefault="00943284" w:rsidP="009459AF">
      <w:pPr>
        <w:spacing w:after="0" w:line="240" w:lineRule="auto"/>
        <w:ind w:firstLine="709"/>
        <w:jc w:val="both"/>
        <w:rPr>
          <w:rFonts w:ascii="Times New Roman" w:hAnsi="Times New Roman" w:cs="Times New Roman"/>
          <w:sz w:val="24"/>
          <w:szCs w:val="24"/>
        </w:rPr>
      </w:pPr>
      <w:r w:rsidRPr="00943284">
        <w:rPr>
          <w:rFonts w:ascii="Times New Roman" w:hAnsi="Times New Roman" w:cs="Times New Roman"/>
          <w:sz w:val="24"/>
          <w:szCs w:val="24"/>
        </w:rPr>
        <w:t xml:space="preserve"> In 2013, FSJ received in total </w:t>
      </w:r>
      <w:r w:rsidRPr="00943284">
        <w:rPr>
          <w:rFonts w:ascii="Times New Roman" w:hAnsi="Times New Roman" w:cs="Times New Roman"/>
          <w:bCs/>
          <w:sz w:val="24"/>
          <w:szCs w:val="24"/>
        </w:rPr>
        <w:t>3886</w:t>
      </w:r>
      <w:r w:rsidRPr="00943284">
        <w:rPr>
          <w:rFonts w:ascii="Times New Roman" w:hAnsi="Times New Roman" w:cs="Times New Roman"/>
          <w:sz w:val="24"/>
          <w:szCs w:val="24"/>
        </w:rPr>
        <w:t xml:space="preserve"> UTRs which could be in regard to character of obliged entity statistically divided into three groups. The first group contains reports of UTRs received from banks performing their activities in Slovakia (National Bank of Slovakia included), which were received in 2013 in total </w:t>
      </w:r>
      <w:r w:rsidRPr="00943284">
        <w:rPr>
          <w:rFonts w:ascii="Times New Roman" w:hAnsi="Times New Roman" w:cs="Times New Roman"/>
          <w:bCs/>
          <w:sz w:val="24"/>
          <w:szCs w:val="24"/>
        </w:rPr>
        <w:t>3416</w:t>
      </w:r>
      <w:r w:rsidRPr="00943284">
        <w:rPr>
          <w:rFonts w:ascii="Times New Roman" w:hAnsi="Times New Roman" w:cs="Times New Roman"/>
          <w:sz w:val="24"/>
          <w:szCs w:val="24"/>
        </w:rPr>
        <w:t xml:space="preserve">. The second group consists of reports of UTRs received from other financial institutions which were received in 2013 in total </w:t>
      </w:r>
      <w:r w:rsidRPr="00943284">
        <w:rPr>
          <w:rFonts w:ascii="Times New Roman" w:hAnsi="Times New Roman" w:cs="Times New Roman"/>
          <w:bCs/>
          <w:sz w:val="24"/>
          <w:szCs w:val="24"/>
        </w:rPr>
        <w:t>314</w:t>
      </w:r>
      <w:r w:rsidRPr="00943284">
        <w:rPr>
          <w:rFonts w:ascii="Times New Roman" w:hAnsi="Times New Roman" w:cs="Times New Roman"/>
          <w:sz w:val="24"/>
          <w:szCs w:val="24"/>
        </w:rPr>
        <w:t xml:space="preserve"> and the third group contains reports of UTRs received from non-financial institutions, which were received in 2013 in total </w:t>
      </w:r>
      <w:r w:rsidRPr="00943284">
        <w:rPr>
          <w:rFonts w:ascii="Times New Roman" w:hAnsi="Times New Roman" w:cs="Times New Roman"/>
          <w:bCs/>
          <w:sz w:val="24"/>
          <w:szCs w:val="24"/>
        </w:rPr>
        <w:t>156</w:t>
      </w:r>
      <w:r w:rsidRPr="00943284">
        <w:rPr>
          <w:rFonts w:ascii="Times New Roman" w:hAnsi="Times New Roman" w:cs="Times New Roman"/>
          <w:sz w:val="24"/>
          <w:szCs w:val="24"/>
        </w:rPr>
        <w:t xml:space="preserve">. </w:t>
      </w:r>
    </w:p>
    <w:p w:rsidR="003C58D6" w:rsidRDefault="003C58D6" w:rsidP="00943284">
      <w:pPr>
        <w:spacing w:after="0"/>
        <w:jc w:val="both"/>
        <w:rPr>
          <w:rFonts w:ascii="Times New Roman" w:hAnsi="Times New Roman" w:cs="Times New Roman"/>
          <w:sz w:val="20"/>
          <w:szCs w:val="20"/>
        </w:rPr>
      </w:pPr>
    </w:p>
    <w:p w:rsidR="003C58D6" w:rsidRDefault="003C58D6" w:rsidP="00943284">
      <w:pPr>
        <w:spacing w:after="0"/>
        <w:jc w:val="both"/>
        <w:rPr>
          <w:rFonts w:ascii="Times New Roman" w:hAnsi="Times New Roman" w:cs="Times New Roman"/>
          <w:sz w:val="20"/>
          <w:szCs w:val="20"/>
        </w:rPr>
      </w:pPr>
    </w:p>
    <w:p w:rsidR="00943284" w:rsidRPr="00943284" w:rsidRDefault="00943284" w:rsidP="00943284">
      <w:pPr>
        <w:spacing w:after="0"/>
        <w:jc w:val="both"/>
        <w:rPr>
          <w:rFonts w:ascii="Times New Roman" w:hAnsi="Times New Roman" w:cs="Times New Roman"/>
          <w:sz w:val="20"/>
          <w:szCs w:val="20"/>
        </w:rPr>
      </w:pPr>
      <w:r w:rsidRPr="00943284">
        <w:rPr>
          <w:rFonts w:ascii="Times New Roman" w:hAnsi="Times New Roman" w:cs="Times New Roman"/>
          <w:sz w:val="20"/>
          <w:szCs w:val="20"/>
        </w:rPr>
        <w:t>Chart No.1: Number of UTRs received from banks in 2013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9"/>
        <w:gridCol w:w="4495"/>
      </w:tblGrid>
      <w:tr w:rsidR="00943284" w:rsidRPr="00943284" w:rsidTr="00F77C8D">
        <w:tc>
          <w:tcPr>
            <w:tcW w:w="9104" w:type="dxa"/>
            <w:gridSpan w:val="2"/>
            <w:shd w:val="clear" w:color="auto" w:fill="auto"/>
          </w:tcPr>
          <w:p w:rsidR="00943284" w:rsidRPr="00943284" w:rsidRDefault="00943284" w:rsidP="00F77C8D">
            <w:pPr>
              <w:spacing w:after="0"/>
              <w:jc w:val="center"/>
              <w:rPr>
                <w:rFonts w:ascii="Times New Roman" w:hAnsi="Times New Roman" w:cs="Times New Roman"/>
                <w:b/>
                <w:bCs/>
                <w:sz w:val="24"/>
                <w:szCs w:val="24"/>
              </w:rPr>
            </w:pPr>
            <w:r w:rsidRPr="00943284">
              <w:rPr>
                <w:rFonts w:ascii="Times New Roman" w:hAnsi="Times New Roman" w:cs="Times New Roman"/>
                <w:b/>
                <w:bCs/>
                <w:sz w:val="24"/>
                <w:szCs w:val="24"/>
              </w:rPr>
              <w:t>BANKS</w:t>
            </w:r>
          </w:p>
        </w:tc>
      </w:tr>
      <w:tr w:rsidR="00943284" w:rsidRPr="00943284" w:rsidTr="00F77C8D">
        <w:tc>
          <w:tcPr>
            <w:tcW w:w="4609" w:type="dxa"/>
            <w:shd w:val="clear" w:color="auto" w:fill="auto"/>
          </w:tcPr>
          <w:p w:rsidR="00943284" w:rsidRPr="00943284" w:rsidRDefault="00943284" w:rsidP="00F77C8D">
            <w:pPr>
              <w:spacing w:after="0"/>
              <w:jc w:val="center"/>
              <w:rPr>
                <w:rFonts w:ascii="Times New Roman" w:hAnsi="Times New Roman" w:cs="Times New Roman"/>
                <w:b/>
                <w:bCs/>
                <w:sz w:val="24"/>
                <w:szCs w:val="24"/>
              </w:rPr>
            </w:pPr>
            <w:r w:rsidRPr="00943284">
              <w:rPr>
                <w:rFonts w:ascii="Times New Roman" w:hAnsi="Times New Roman" w:cs="Times New Roman"/>
                <w:b/>
                <w:bCs/>
                <w:sz w:val="24"/>
                <w:szCs w:val="24"/>
              </w:rPr>
              <w:t>OBLIGED ENTITY</w:t>
            </w:r>
          </w:p>
        </w:tc>
        <w:tc>
          <w:tcPr>
            <w:tcW w:w="4495" w:type="dxa"/>
            <w:shd w:val="clear" w:color="auto" w:fill="auto"/>
          </w:tcPr>
          <w:p w:rsidR="00943284" w:rsidRPr="00943284" w:rsidRDefault="00943284" w:rsidP="00F77C8D">
            <w:pPr>
              <w:spacing w:after="0"/>
              <w:jc w:val="center"/>
              <w:rPr>
                <w:rFonts w:ascii="Times New Roman" w:hAnsi="Times New Roman" w:cs="Times New Roman"/>
                <w:b/>
                <w:bCs/>
                <w:sz w:val="24"/>
                <w:szCs w:val="24"/>
              </w:rPr>
            </w:pPr>
            <w:r w:rsidRPr="00943284">
              <w:rPr>
                <w:rFonts w:ascii="Times New Roman" w:hAnsi="Times New Roman" w:cs="Times New Roman"/>
                <w:b/>
                <w:bCs/>
                <w:sz w:val="24"/>
                <w:szCs w:val="24"/>
              </w:rPr>
              <w:t>NUMBER</w:t>
            </w:r>
          </w:p>
        </w:tc>
      </w:tr>
      <w:tr w:rsidR="00943284" w:rsidRPr="00943284" w:rsidTr="00F77C8D">
        <w:tc>
          <w:tcPr>
            <w:tcW w:w="4609" w:type="dxa"/>
            <w:shd w:val="clear" w:color="auto" w:fill="auto"/>
          </w:tcPr>
          <w:p w:rsidR="00943284" w:rsidRPr="00943284" w:rsidRDefault="00943284" w:rsidP="00F77C8D">
            <w:pPr>
              <w:spacing w:after="0"/>
              <w:jc w:val="both"/>
              <w:rPr>
                <w:rFonts w:ascii="Times New Roman" w:hAnsi="Times New Roman" w:cs="Times New Roman"/>
                <w:sz w:val="24"/>
                <w:szCs w:val="24"/>
              </w:rPr>
            </w:pPr>
            <w:r w:rsidRPr="00943284">
              <w:rPr>
                <w:rFonts w:ascii="Times New Roman" w:hAnsi="Times New Roman" w:cs="Times New Roman"/>
                <w:sz w:val="24"/>
                <w:szCs w:val="24"/>
              </w:rPr>
              <w:t>The National Bank of Slovakia</w:t>
            </w:r>
          </w:p>
        </w:tc>
        <w:tc>
          <w:tcPr>
            <w:tcW w:w="4495" w:type="dxa"/>
            <w:shd w:val="clear" w:color="auto" w:fill="auto"/>
          </w:tcPr>
          <w:p w:rsidR="00943284" w:rsidRPr="00943284" w:rsidRDefault="00943284" w:rsidP="00F77C8D">
            <w:pPr>
              <w:spacing w:after="0"/>
              <w:jc w:val="center"/>
              <w:rPr>
                <w:rFonts w:ascii="Times New Roman" w:hAnsi="Times New Roman" w:cs="Times New Roman"/>
                <w:sz w:val="24"/>
                <w:szCs w:val="24"/>
              </w:rPr>
            </w:pPr>
            <w:r w:rsidRPr="00943284">
              <w:rPr>
                <w:rFonts w:ascii="Times New Roman" w:hAnsi="Times New Roman" w:cs="Times New Roman"/>
                <w:sz w:val="24"/>
                <w:szCs w:val="24"/>
              </w:rPr>
              <w:t>163</w:t>
            </w:r>
          </w:p>
        </w:tc>
      </w:tr>
      <w:tr w:rsidR="00943284" w:rsidRPr="00943284" w:rsidTr="00F77C8D">
        <w:tc>
          <w:tcPr>
            <w:tcW w:w="4609" w:type="dxa"/>
            <w:shd w:val="clear" w:color="auto" w:fill="auto"/>
          </w:tcPr>
          <w:p w:rsidR="00943284" w:rsidRPr="00943284" w:rsidRDefault="00943284" w:rsidP="00F77C8D">
            <w:pPr>
              <w:spacing w:after="0"/>
              <w:jc w:val="both"/>
              <w:rPr>
                <w:rFonts w:ascii="Times New Roman" w:hAnsi="Times New Roman" w:cs="Times New Roman"/>
                <w:sz w:val="24"/>
                <w:szCs w:val="24"/>
              </w:rPr>
            </w:pPr>
            <w:r w:rsidRPr="00943284">
              <w:rPr>
                <w:rFonts w:ascii="Times New Roman" w:hAnsi="Times New Roman" w:cs="Times New Roman"/>
                <w:sz w:val="24"/>
                <w:szCs w:val="24"/>
              </w:rPr>
              <w:t>Banks performing their activities in Slovakia</w:t>
            </w:r>
          </w:p>
        </w:tc>
        <w:tc>
          <w:tcPr>
            <w:tcW w:w="4495" w:type="dxa"/>
            <w:shd w:val="clear" w:color="auto" w:fill="auto"/>
          </w:tcPr>
          <w:p w:rsidR="00943284" w:rsidRPr="00943284" w:rsidRDefault="00943284" w:rsidP="00F77C8D">
            <w:pPr>
              <w:spacing w:after="0"/>
              <w:jc w:val="center"/>
              <w:rPr>
                <w:rFonts w:ascii="Times New Roman" w:hAnsi="Times New Roman" w:cs="Times New Roman"/>
                <w:sz w:val="24"/>
                <w:szCs w:val="24"/>
              </w:rPr>
            </w:pPr>
            <w:r w:rsidRPr="00943284">
              <w:rPr>
                <w:rFonts w:ascii="Times New Roman" w:hAnsi="Times New Roman" w:cs="Times New Roman"/>
                <w:sz w:val="24"/>
                <w:szCs w:val="24"/>
              </w:rPr>
              <w:t>3253</w:t>
            </w:r>
          </w:p>
        </w:tc>
      </w:tr>
      <w:tr w:rsidR="00943284" w:rsidRPr="00943284" w:rsidTr="00F77C8D">
        <w:tc>
          <w:tcPr>
            <w:tcW w:w="4609" w:type="dxa"/>
            <w:shd w:val="clear" w:color="auto" w:fill="auto"/>
            <w:vAlign w:val="center"/>
          </w:tcPr>
          <w:p w:rsidR="00943284" w:rsidRPr="00943284" w:rsidRDefault="00943284" w:rsidP="00F77C8D">
            <w:pPr>
              <w:spacing w:after="0"/>
              <w:rPr>
                <w:rFonts w:ascii="Times New Roman" w:hAnsi="Times New Roman" w:cs="Times New Roman"/>
                <w:sz w:val="24"/>
                <w:szCs w:val="24"/>
              </w:rPr>
            </w:pPr>
            <w:r w:rsidRPr="00943284">
              <w:rPr>
                <w:rFonts w:ascii="Times New Roman" w:hAnsi="Times New Roman" w:cs="Times New Roman"/>
                <w:b/>
                <w:bCs/>
                <w:sz w:val="20"/>
                <w:szCs w:val="20"/>
              </w:rPr>
              <w:t>TOTAL</w:t>
            </w:r>
          </w:p>
        </w:tc>
        <w:tc>
          <w:tcPr>
            <w:tcW w:w="4495" w:type="dxa"/>
            <w:shd w:val="clear" w:color="auto" w:fill="auto"/>
            <w:vAlign w:val="center"/>
          </w:tcPr>
          <w:p w:rsidR="00943284" w:rsidRPr="00943284" w:rsidRDefault="00943284" w:rsidP="00F77C8D">
            <w:pPr>
              <w:spacing w:after="0"/>
              <w:jc w:val="center"/>
              <w:rPr>
                <w:rFonts w:ascii="Times New Roman" w:hAnsi="Times New Roman" w:cs="Times New Roman"/>
                <w:b/>
                <w:bCs/>
                <w:sz w:val="24"/>
                <w:szCs w:val="24"/>
              </w:rPr>
            </w:pPr>
            <w:r w:rsidRPr="00943284">
              <w:rPr>
                <w:rFonts w:ascii="Times New Roman" w:hAnsi="Times New Roman" w:cs="Times New Roman"/>
                <w:b/>
                <w:bCs/>
                <w:sz w:val="24"/>
                <w:szCs w:val="24"/>
              </w:rPr>
              <w:t>3416</w:t>
            </w:r>
          </w:p>
        </w:tc>
      </w:tr>
    </w:tbl>
    <w:p w:rsidR="007F38C4" w:rsidRDefault="007F38C4" w:rsidP="00943284">
      <w:pPr>
        <w:spacing w:after="0"/>
        <w:jc w:val="both"/>
        <w:rPr>
          <w:rFonts w:ascii="Times New Roman" w:hAnsi="Times New Roman" w:cs="Times New Roman"/>
          <w:sz w:val="20"/>
          <w:szCs w:val="20"/>
        </w:rPr>
      </w:pPr>
    </w:p>
    <w:p w:rsidR="00943284" w:rsidRDefault="00943284" w:rsidP="00943284">
      <w:pPr>
        <w:spacing w:after="0"/>
        <w:jc w:val="both"/>
        <w:rPr>
          <w:rFonts w:ascii="Times New Roman" w:hAnsi="Times New Roman" w:cs="Times New Roman"/>
          <w:sz w:val="20"/>
          <w:szCs w:val="20"/>
        </w:rPr>
      </w:pPr>
      <w:r w:rsidRPr="00943284">
        <w:rPr>
          <w:rFonts w:ascii="Times New Roman" w:hAnsi="Times New Roman" w:cs="Times New Roman"/>
          <w:sz w:val="20"/>
          <w:szCs w:val="20"/>
        </w:rPr>
        <w:lastRenderedPageBreak/>
        <w:t>Chart No.2: Number of UTRs received from other financial institution</w:t>
      </w:r>
      <w:r w:rsidRPr="00943284">
        <w:rPr>
          <w:sz w:val="20"/>
          <w:szCs w:val="20"/>
        </w:rPr>
        <w:t xml:space="preserve"> </w:t>
      </w:r>
      <w:r w:rsidRPr="00943284">
        <w:rPr>
          <w:rFonts w:ascii="Times New Roman" w:hAnsi="Times New Roman" w:cs="Times New Roman"/>
          <w:sz w:val="20"/>
          <w:szCs w:val="20"/>
        </w:rPr>
        <w:t xml:space="preserve">in 2013 </w:t>
      </w:r>
    </w:p>
    <w:p w:rsidR="009459AF" w:rsidRPr="00943284" w:rsidRDefault="009459AF" w:rsidP="00943284">
      <w:pPr>
        <w:spacing w:after="0"/>
        <w:jc w:val="both"/>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606"/>
      </w:tblGrid>
      <w:tr w:rsidR="00943284" w:rsidRPr="00943284" w:rsidTr="00F77C8D">
        <w:tc>
          <w:tcPr>
            <w:tcW w:w="9104" w:type="dxa"/>
            <w:gridSpan w:val="2"/>
            <w:shd w:val="clear" w:color="auto" w:fill="auto"/>
          </w:tcPr>
          <w:p w:rsidR="00943284" w:rsidRPr="00943284" w:rsidRDefault="00943284" w:rsidP="00F77C8D">
            <w:pPr>
              <w:spacing w:after="0"/>
              <w:jc w:val="center"/>
              <w:rPr>
                <w:rFonts w:ascii="Times New Roman" w:hAnsi="Times New Roman" w:cs="Times New Roman"/>
                <w:b/>
                <w:bCs/>
                <w:sz w:val="24"/>
                <w:szCs w:val="24"/>
              </w:rPr>
            </w:pPr>
            <w:r w:rsidRPr="00943284">
              <w:rPr>
                <w:rFonts w:ascii="Times New Roman" w:hAnsi="Times New Roman" w:cs="Times New Roman"/>
                <w:b/>
                <w:sz w:val="24"/>
                <w:szCs w:val="24"/>
              </w:rPr>
              <w:t>OTHER FINANCIAL INSTITUTION</w:t>
            </w:r>
          </w:p>
        </w:tc>
      </w:tr>
      <w:tr w:rsidR="00943284" w:rsidRPr="00943284" w:rsidTr="00F77C8D">
        <w:tc>
          <w:tcPr>
            <w:tcW w:w="4498" w:type="dxa"/>
            <w:shd w:val="clear" w:color="auto" w:fill="auto"/>
          </w:tcPr>
          <w:p w:rsidR="00943284" w:rsidRPr="00943284" w:rsidRDefault="00943284" w:rsidP="00F77C8D">
            <w:pPr>
              <w:spacing w:after="0"/>
              <w:jc w:val="center"/>
              <w:rPr>
                <w:rFonts w:ascii="Times New Roman" w:hAnsi="Times New Roman" w:cs="Times New Roman"/>
                <w:b/>
                <w:bCs/>
                <w:sz w:val="24"/>
                <w:szCs w:val="24"/>
              </w:rPr>
            </w:pPr>
            <w:r w:rsidRPr="00943284">
              <w:rPr>
                <w:rFonts w:ascii="Times New Roman" w:hAnsi="Times New Roman" w:cs="Times New Roman"/>
                <w:b/>
                <w:bCs/>
                <w:sz w:val="24"/>
                <w:szCs w:val="24"/>
              </w:rPr>
              <w:t>OBLIGED ENTITY</w:t>
            </w:r>
          </w:p>
        </w:tc>
        <w:tc>
          <w:tcPr>
            <w:tcW w:w="4606" w:type="dxa"/>
            <w:shd w:val="clear" w:color="auto" w:fill="auto"/>
          </w:tcPr>
          <w:p w:rsidR="00943284" w:rsidRPr="00943284" w:rsidRDefault="00943284" w:rsidP="00F77C8D">
            <w:pPr>
              <w:spacing w:after="0"/>
              <w:jc w:val="center"/>
              <w:rPr>
                <w:rFonts w:ascii="Times New Roman" w:hAnsi="Times New Roman" w:cs="Times New Roman"/>
                <w:b/>
                <w:bCs/>
                <w:sz w:val="24"/>
                <w:szCs w:val="24"/>
              </w:rPr>
            </w:pPr>
            <w:r w:rsidRPr="00943284">
              <w:rPr>
                <w:rFonts w:ascii="Times New Roman" w:hAnsi="Times New Roman" w:cs="Times New Roman"/>
                <w:b/>
                <w:bCs/>
                <w:sz w:val="24"/>
                <w:szCs w:val="24"/>
              </w:rPr>
              <w:t>NUMBER</w:t>
            </w:r>
          </w:p>
        </w:tc>
      </w:tr>
      <w:tr w:rsidR="00943284" w:rsidRPr="00943284" w:rsidTr="00F77C8D">
        <w:tc>
          <w:tcPr>
            <w:tcW w:w="4498" w:type="dxa"/>
            <w:shd w:val="clear" w:color="auto" w:fill="auto"/>
          </w:tcPr>
          <w:p w:rsidR="00943284" w:rsidRPr="00943284" w:rsidRDefault="00943284" w:rsidP="00F77C8D">
            <w:pPr>
              <w:spacing w:after="0"/>
              <w:jc w:val="both"/>
              <w:rPr>
                <w:rFonts w:ascii="Times New Roman" w:hAnsi="Times New Roman" w:cs="Times New Roman"/>
                <w:sz w:val="24"/>
                <w:szCs w:val="24"/>
              </w:rPr>
            </w:pPr>
            <w:r w:rsidRPr="00943284">
              <w:rPr>
                <w:rFonts w:ascii="Times New Roman" w:hAnsi="Times New Roman" w:cs="Times New Roman"/>
                <w:sz w:val="24"/>
                <w:szCs w:val="24"/>
              </w:rPr>
              <w:t>Securities Sealer</w:t>
            </w:r>
          </w:p>
        </w:tc>
        <w:tc>
          <w:tcPr>
            <w:tcW w:w="4606" w:type="dxa"/>
            <w:shd w:val="clear" w:color="auto" w:fill="auto"/>
          </w:tcPr>
          <w:p w:rsidR="00943284" w:rsidRPr="00943284" w:rsidRDefault="00943284" w:rsidP="00F77C8D">
            <w:pPr>
              <w:spacing w:after="0"/>
              <w:jc w:val="center"/>
              <w:rPr>
                <w:rFonts w:ascii="Times New Roman" w:hAnsi="Times New Roman" w:cs="Times New Roman"/>
                <w:sz w:val="24"/>
                <w:szCs w:val="24"/>
              </w:rPr>
            </w:pPr>
            <w:r w:rsidRPr="00943284">
              <w:rPr>
                <w:rFonts w:ascii="Times New Roman" w:hAnsi="Times New Roman" w:cs="Times New Roman"/>
                <w:sz w:val="24"/>
                <w:szCs w:val="24"/>
              </w:rPr>
              <w:t>2</w:t>
            </w:r>
          </w:p>
        </w:tc>
      </w:tr>
      <w:tr w:rsidR="00943284" w:rsidRPr="00943284" w:rsidTr="00F77C8D">
        <w:tc>
          <w:tcPr>
            <w:tcW w:w="4498" w:type="dxa"/>
            <w:shd w:val="clear" w:color="auto" w:fill="auto"/>
          </w:tcPr>
          <w:p w:rsidR="00943284" w:rsidRPr="00943284" w:rsidRDefault="00943284" w:rsidP="00F77C8D">
            <w:pPr>
              <w:spacing w:after="0"/>
              <w:jc w:val="both"/>
              <w:rPr>
                <w:rFonts w:ascii="Times New Roman" w:hAnsi="Times New Roman" w:cs="Times New Roman"/>
                <w:sz w:val="24"/>
                <w:szCs w:val="24"/>
              </w:rPr>
            </w:pPr>
            <w:r w:rsidRPr="00943284">
              <w:rPr>
                <w:rFonts w:ascii="Times New Roman" w:hAnsi="Times New Roman" w:cs="Times New Roman"/>
                <w:sz w:val="24"/>
                <w:szCs w:val="24"/>
              </w:rPr>
              <w:t>Investment Company / Administrator of investment funds</w:t>
            </w:r>
          </w:p>
        </w:tc>
        <w:tc>
          <w:tcPr>
            <w:tcW w:w="4606" w:type="dxa"/>
            <w:shd w:val="clear" w:color="auto" w:fill="auto"/>
          </w:tcPr>
          <w:p w:rsidR="00943284" w:rsidRPr="00943284" w:rsidRDefault="00943284" w:rsidP="00F77C8D">
            <w:pPr>
              <w:spacing w:after="0"/>
              <w:jc w:val="center"/>
              <w:rPr>
                <w:rFonts w:ascii="Times New Roman" w:hAnsi="Times New Roman" w:cs="Times New Roman"/>
                <w:sz w:val="24"/>
                <w:szCs w:val="24"/>
              </w:rPr>
            </w:pPr>
            <w:r w:rsidRPr="00943284">
              <w:rPr>
                <w:rFonts w:ascii="Times New Roman" w:hAnsi="Times New Roman" w:cs="Times New Roman"/>
                <w:sz w:val="24"/>
                <w:szCs w:val="24"/>
              </w:rPr>
              <w:t>41</w:t>
            </w:r>
          </w:p>
        </w:tc>
      </w:tr>
      <w:tr w:rsidR="00943284" w:rsidRPr="00943284" w:rsidTr="00F77C8D">
        <w:tc>
          <w:tcPr>
            <w:tcW w:w="4498" w:type="dxa"/>
            <w:shd w:val="clear" w:color="auto" w:fill="auto"/>
          </w:tcPr>
          <w:p w:rsidR="00943284" w:rsidRPr="00943284" w:rsidRDefault="00943284" w:rsidP="00F77C8D">
            <w:pPr>
              <w:spacing w:after="0"/>
              <w:jc w:val="both"/>
              <w:rPr>
                <w:rFonts w:ascii="Times New Roman" w:hAnsi="Times New Roman" w:cs="Times New Roman"/>
                <w:sz w:val="24"/>
                <w:szCs w:val="24"/>
              </w:rPr>
            </w:pPr>
            <w:r w:rsidRPr="00943284">
              <w:rPr>
                <w:rFonts w:ascii="Times New Roman" w:hAnsi="Times New Roman" w:cs="Times New Roman"/>
                <w:sz w:val="24"/>
                <w:szCs w:val="24"/>
              </w:rPr>
              <w:t>Insurance Company</w:t>
            </w:r>
          </w:p>
        </w:tc>
        <w:tc>
          <w:tcPr>
            <w:tcW w:w="4606" w:type="dxa"/>
            <w:shd w:val="clear" w:color="auto" w:fill="auto"/>
          </w:tcPr>
          <w:p w:rsidR="00943284" w:rsidRPr="00943284" w:rsidRDefault="00943284" w:rsidP="00F77C8D">
            <w:pPr>
              <w:spacing w:after="0"/>
              <w:jc w:val="center"/>
              <w:rPr>
                <w:rFonts w:ascii="Times New Roman" w:hAnsi="Times New Roman" w:cs="Times New Roman"/>
                <w:sz w:val="24"/>
                <w:szCs w:val="24"/>
              </w:rPr>
            </w:pPr>
            <w:r w:rsidRPr="00943284">
              <w:rPr>
                <w:rFonts w:ascii="Times New Roman" w:hAnsi="Times New Roman" w:cs="Times New Roman"/>
                <w:sz w:val="24"/>
                <w:szCs w:val="24"/>
              </w:rPr>
              <w:t>155</w:t>
            </w:r>
          </w:p>
        </w:tc>
      </w:tr>
      <w:tr w:rsidR="00943284" w:rsidRPr="00943284" w:rsidTr="00F77C8D">
        <w:tc>
          <w:tcPr>
            <w:tcW w:w="4498" w:type="dxa"/>
            <w:shd w:val="clear" w:color="auto" w:fill="auto"/>
          </w:tcPr>
          <w:p w:rsidR="00943284" w:rsidRPr="00943284" w:rsidRDefault="00943284" w:rsidP="00F77C8D">
            <w:pPr>
              <w:spacing w:after="0"/>
              <w:jc w:val="both"/>
              <w:rPr>
                <w:rFonts w:ascii="Times New Roman" w:hAnsi="Times New Roman" w:cs="Times New Roman"/>
                <w:sz w:val="24"/>
                <w:szCs w:val="24"/>
              </w:rPr>
            </w:pPr>
            <w:r w:rsidRPr="00943284">
              <w:rPr>
                <w:rFonts w:ascii="Times New Roman" w:hAnsi="Times New Roman" w:cs="Times New Roman"/>
                <w:sz w:val="24"/>
                <w:szCs w:val="24"/>
              </w:rPr>
              <w:t>Exchange office</w:t>
            </w:r>
          </w:p>
        </w:tc>
        <w:tc>
          <w:tcPr>
            <w:tcW w:w="4606" w:type="dxa"/>
            <w:shd w:val="clear" w:color="auto" w:fill="auto"/>
          </w:tcPr>
          <w:p w:rsidR="00943284" w:rsidRPr="00943284" w:rsidRDefault="00943284" w:rsidP="00F77C8D">
            <w:pPr>
              <w:spacing w:after="0"/>
              <w:jc w:val="center"/>
              <w:rPr>
                <w:rFonts w:ascii="Times New Roman" w:hAnsi="Times New Roman" w:cs="Times New Roman"/>
                <w:sz w:val="24"/>
                <w:szCs w:val="24"/>
              </w:rPr>
            </w:pPr>
            <w:r w:rsidRPr="00943284">
              <w:rPr>
                <w:rFonts w:ascii="Times New Roman" w:hAnsi="Times New Roman" w:cs="Times New Roman"/>
                <w:sz w:val="24"/>
                <w:szCs w:val="24"/>
              </w:rPr>
              <w:t>116</w:t>
            </w:r>
          </w:p>
        </w:tc>
      </w:tr>
      <w:tr w:rsidR="00943284" w:rsidRPr="00943284" w:rsidTr="00F77C8D">
        <w:tc>
          <w:tcPr>
            <w:tcW w:w="4498" w:type="dxa"/>
            <w:shd w:val="clear" w:color="auto" w:fill="auto"/>
            <w:vAlign w:val="center"/>
          </w:tcPr>
          <w:p w:rsidR="00943284" w:rsidRPr="00943284" w:rsidRDefault="00943284" w:rsidP="00F77C8D">
            <w:pPr>
              <w:spacing w:after="0"/>
              <w:rPr>
                <w:rFonts w:ascii="Times New Roman" w:hAnsi="Times New Roman" w:cs="Times New Roman"/>
                <w:sz w:val="24"/>
                <w:szCs w:val="24"/>
              </w:rPr>
            </w:pPr>
            <w:r w:rsidRPr="00943284">
              <w:rPr>
                <w:rFonts w:ascii="Times New Roman" w:hAnsi="Times New Roman" w:cs="Times New Roman"/>
                <w:b/>
                <w:bCs/>
                <w:sz w:val="20"/>
                <w:szCs w:val="20"/>
              </w:rPr>
              <w:t>TOTAL</w:t>
            </w:r>
          </w:p>
        </w:tc>
        <w:tc>
          <w:tcPr>
            <w:tcW w:w="4606" w:type="dxa"/>
            <w:shd w:val="clear" w:color="auto" w:fill="auto"/>
            <w:vAlign w:val="center"/>
          </w:tcPr>
          <w:p w:rsidR="00943284" w:rsidRPr="00943284" w:rsidRDefault="00943284" w:rsidP="00F77C8D">
            <w:pPr>
              <w:spacing w:after="0"/>
              <w:jc w:val="center"/>
              <w:rPr>
                <w:rFonts w:ascii="Times New Roman" w:hAnsi="Times New Roman" w:cs="Times New Roman"/>
                <w:b/>
                <w:bCs/>
                <w:sz w:val="24"/>
                <w:szCs w:val="24"/>
              </w:rPr>
            </w:pPr>
            <w:r w:rsidRPr="00943284">
              <w:rPr>
                <w:rFonts w:ascii="Times New Roman" w:hAnsi="Times New Roman" w:cs="Times New Roman"/>
                <w:b/>
                <w:bCs/>
                <w:sz w:val="24"/>
                <w:szCs w:val="24"/>
              </w:rPr>
              <w:t>314</w:t>
            </w:r>
          </w:p>
        </w:tc>
      </w:tr>
    </w:tbl>
    <w:p w:rsidR="00943284" w:rsidRPr="00943284" w:rsidRDefault="00943284" w:rsidP="00943284">
      <w:pPr>
        <w:spacing w:after="0"/>
        <w:jc w:val="both"/>
        <w:rPr>
          <w:rFonts w:ascii="Times New Roman" w:hAnsi="Times New Roman" w:cs="Times New Roman"/>
          <w:sz w:val="24"/>
          <w:szCs w:val="24"/>
        </w:rPr>
      </w:pPr>
    </w:p>
    <w:p w:rsidR="00943284" w:rsidRDefault="00943284" w:rsidP="00943284">
      <w:pPr>
        <w:spacing w:after="0"/>
        <w:jc w:val="both"/>
        <w:rPr>
          <w:rFonts w:ascii="Times New Roman" w:hAnsi="Times New Roman" w:cs="Times New Roman"/>
          <w:sz w:val="20"/>
          <w:szCs w:val="20"/>
        </w:rPr>
      </w:pPr>
      <w:r w:rsidRPr="00943284">
        <w:rPr>
          <w:rFonts w:ascii="Times New Roman" w:hAnsi="Times New Roman" w:cs="Times New Roman"/>
          <w:sz w:val="20"/>
          <w:szCs w:val="20"/>
        </w:rPr>
        <w:t>Chart No.3 Number of UTRs received from</w:t>
      </w:r>
      <w:r w:rsidRPr="00943284">
        <w:rPr>
          <w:sz w:val="20"/>
          <w:szCs w:val="20"/>
        </w:rPr>
        <w:t xml:space="preserve"> </w:t>
      </w:r>
      <w:r w:rsidRPr="00943284">
        <w:rPr>
          <w:rFonts w:ascii="Times New Roman" w:hAnsi="Times New Roman" w:cs="Times New Roman"/>
          <w:sz w:val="20"/>
          <w:szCs w:val="20"/>
        </w:rPr>
        <w:t>non-financial institution in 2013</w:t>
      </w:r>
    </w:p>
    <w:p w:rsidR="009459AF" w:rsidRPr="00943284" w:rsidRDefault="009459AF" w:rsidP="00943284">
      <w:pPr>
        <w:spacing w:after="0"/>
        <w:jc w:val="both"/>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606"/>
      </w:tblGrid>
      <w:tr w:rsidR="00943284" w:rsidRPr="00943284" w:rsidTr="00F77C8D">
        <w:tc>
          <w:tcPr>
            <w:tcW w:w="9104" w:type="dxa"/>
            <w:gridSpan w:val="2"/>
            <w:shd w:val="clear" w:color="auto" w:fill="auto"/>
          </w:tcPr>
          <w:p w:rsidR="00943284" w:rsidRPr="00943284" w:rsidRDefault="00943284" w:rsidP="00F77C8D">
            <w:pPr>
              <w:spacing w:after="0"/>
              <w:jc w:val="center"/>
              <w:rPr>
                <w:rFonts w:ascii="Times New Roman" w:hAnsi="Times New Roman" w:cs="Times New Roman"/>
                <w:b/>
                <w:bCs/>
                <w:sz w:val="24"/>
                <w:szCs w:val="24"/>
              </w:rPr>
            </w:pPr>
            <w:r w:rsidRPr="00943284">
              <w:rPr>
                <w:rFonts w:ascii="Times New Roman" w:hAnsi="Times New Roman" w:cs="Times New Roman"/>
                <w:b/>
                <w:sz w:val="24"/>
                <w:szCs w:val="24"/>
              </w:rPr>
              <w:t>NON-FINANCIAL INSTITUTION</w:t>
            </w:r>
          </w:p>
        </w:tc>
      </w:tr>
      <w:tr w:rsidR="00943284" w:rsidRPr="00943284" w:rsidTr="00F77C8D">
        <w:tc>
          <w:tcPr>
            <w:tcW w:w="4498" w:type="dxa"/>
            <w:shd w:val="clear" w:color="auto" w:fill="auto"/>
          </w:tcPr>
          <w:p w:rsidR="00943284" w:rsidRPr="00943284" w:rsidRDefault="00943284" w:rsidP="00F77C8D">
            <w:pPr>
              <w:spacing w:after="0"/>
              <w:jc w:val="center"/>
              <w:rPr>
                <w:rFonts w:ascii="Times New Roman" w:hAnsi="Times New Roman" w:cs="Times New Roman"/>
                <w:b/>
                <w:bCs/>
                <w:sz w:val="24"/>
                <w:szCs w:val="24"/>
              </w:rPr>
            </w:pPr>
            <w:r w:rsidRPr="00943284">
              <w:rPr>
                <w:rFonts w:ascii="Times New Roman" w:hAnsi="Times New Roman" w:cs="Times New Roman"/>
                <w:b/>
                <w:bCs/>
                <w:sz w:val="24"/>
                <w:szCs w:val="24"/>
              </w:rPr>
              <w:t>OBLIGED ENTITY</w:t>
            </w:r>
          </w:p>
        </w:tc>
        <w:tc>
          <w:tcPr>
            <w:tcW w:w="4606" w:type="dxa"/>
            <w:shd w:val="clear" w:color="auto" w:fill="auto"/>
          </w:tcPr>
          <w:p w:rsidR="00943284" w:rsidRPr="00943284" w:rsidRDefault="00943284" w:rsidP="00F77C8D">
            <w:pPr>
              <w:spacing w:after="0"/>
              <w:jc w:val="center"/>
              <w:rPr>
                <w:rFonts w:ascii="Times New Roman" w:hAnsi="Times New Roman" w:cs="Times New Roman"/>
                <w:b/>
                <w:bCs/>
                <w:sz w:val="24"/>
                <w:szCs w:val="24"/>
              </w:rPr>
            </w:pPr>
            <w:r w:rsidRPr="00943284">
              <w:rPr>
                <w:rFonts w:ascii="Times New Roman" w:hAnsi="Times New Roman" w:cs="Times New Roman"/>
                <w:b/>
                <w:bCs/>
                <w:sz w:val="24"/>
                <w:szCs w:val="24"/>
              </w:rPr>
              <w:t>NUMBER</w:t>
            </w:r>
          </w:p>
        </w:tc>
      </w:tr>
      <w:tr w:rsidR="00943284" w:rsidRPr="00943284" w:rsidTr="00F77C8D">
        <w:tc>
          <w:tcPr>
            <w:tcW w:w="4498" w:type="dxa"/>
            <w:shd w:val="clear" w:color="auto" w:fill="auto"/>
          </w:tcPr>
          <w:p w:rsidR="00943284" w:rsidRPr="00943284" w:rsidRDefault="00943284" w:rsidP="00F77C8D">
            <w:pPr>
              <w:spacing w:after="0"/>
              <w:jc w:val="both"/>
              <w:rPr>
                <w:rFonts w:ascii="Times New Roman" w:hAnsi="Times New Roman" w:cs="Times New Roman"/>
                <w:sz w:val="24"/>
                <w:szCs w:val="24"/>
              </w:rPr>
            </w:pPr>
            <w:r w:rsidRPr="00943284">
              <w:rPr>
                <w:rFonts w:ascii="Times New Roman" w:hAnsi="Times New Roman" w:cs="Times New Roman"/>
                <w:sz w:val="24"/>
                <w:szCs w:val="24"/>
              </w:rPr>
              <w:t>Gambling games</w:t>
            </w:r>
          </w:p>
        </w:tc>
        <w:tc>
          <w:tcPr>
            <w:tcW w:w="4606" w:type="dxa"/>
            <w:shd w:val="clear" w:color="auto" w:fill="auto"/>
          </w:tcPr>
          <w:p w:rsidR="00943284" w:rsidRPr="00943284" w:rsidRDefault="00943284" w:rsidP="00F77C8D">
            <w:pPr>
              <w:spacing w:after="0"/>
              <w:jc w:val="center"/>
              <w:rPr>
                <w:rFonts w:ascii="Times New Roman" w:hAnsi="Times New Roman" w:cs="Times New Roman"/>
                <w:sz w:val="24"/>
                <w:szCs w:val="24"/>
              </w:rPr>
            </w:pPr>
            <w:r w:rsidRPr="00943284">
              <w:rPr>
                <w:rFonts w:ascii="Times New Roman" w:hAnsi="Times New Roman" w:cs="Times New Roman"/>
                <w:sz w:val="24"/>
                <w:szCs w:val="24"/>
              </w:rPr>
              <w:t>12</w:t>
            </w:r>
          </w:p>
        </w:tc>
      </w:tr>
      <w:tr w:rsidR="00943284" w:rsidRPr="00943284" w:rsidTr="00F77C8D">
        <w:tc>
          <w:tcPr>
            <w:tcW w:w="4498" w:type="dxa"/>
            <w:shd w:val="clear" w:color="auto" w:fill="auto"/>
          </w:tcPr>
          <w:p w:rsidR="00943284" w:rsidRPr="00943284" w:rsidRDefault="00943284" w:rsidP="00F77C8D">
            <w:pPr>
              <w:spacing w:after="0"/>
              <w:jc w:val="both"/>
              <w:rPr>
                <w:rFonts w:ascii="Times New Roman" w:hAnsi="Times New Roman" w:cs="Times New Roman"/>
                <w:sz w:val="24"/>
                <w:szCs w:val="24"/>
              </w:rPr>
            </w:pPr>
            <w:r w:rsidRPr="00943284">
              <w:rPr>
                <w:rFonts w:ascii="Times New Roman" w:hAnsi="Times New Roman" w:cs="Times New Roman"/>
                <w:sz w:val="24"/>
                <w:szCs w:val="24"/>
              </w:rPr>
              <w:t>Postal undertaking</w:t>
            </w:r>
          </w:p>
        </w:tc>
        <w:tc>
          <w:tcPr>
            <w:tcW w:w="4606" w:type="dxa"/>
            <w:shd w:val="clear" w:color="auto" w:fill="auto"/>
          </w:tcPr>
          <w:p w:rsidR="00943284" w:rsidRPr="00943284" w:rsidRDefault="00943284" w:rsidP="00F77C8D">
            <w:pPr>
              <w:spacing w:after="0"/>
              <w:jc w:val="center"/>
              <w:rPr>
                <w:rFonts w:ascii="Times New Roman" w:hAnsi="Times New Roman" w:cs="Times New Roman"/>
                <w:sz w:val="24"/>
                <w:szCs w:val="24"/>
              </w:rPr>
            </w:pPr>
            <w:r w:rsidRPr="00943284">
              <w:rPr>
                <w:rFonts w:ascii="Times New Roman" w:hAnsi="Times New Roman" w:cs="Times New Roman"/>
                <w:sz w:val="24"/>
                <w:szCs w:val="24"/>
              </w:rPr>
              <w:t>105</w:t>
            </w:r>
          </w:p>
        </w:tc>
      </w:tr>
      <w:tr w:rsidR="00943284" w:rsidRPr="00943284" w:rsidTr="00F77C8D">
        <w:tc>
          <w:tcPr>
            <w:tcW w:w="4498" w:type="dxa"/>
            <w:shd w:val="clear" w:color="auto" w:fill="auto"/>
          </w:tcPr>
          <w:p w:rsidR="00943284" w:rsidRPr="00943284" w:rsidRDefault="00943284" w:rsidP="00F77C8D">
            <w:pPr>
              <w:spacing w:after="0"/>
              <w:jc w:val="both"/>
              <w:rPr>
                <w:rFonts w:ascii="Times New Roman" w:hAnsi="Times New Roman" w:cs="Times New Roman"/>
                <w:sz w:val="24"/>
                <w:szCs w:val="24"/>
              </w:rPr>
            </w:pPr>
            <w:r w:rsidRPr="00943284">
              <w:rPr>
                <w:rFonts w:ascii="Times New Roman" w:hAnsi="Times New Roman" w:cs="Times New Roman"/>
                <w:sz w:val="24"/>
                <w:szCs w:val="24"/>
              </w:rPr>
              <w:t>Auditor</w:t>
            </w:r>
          </w:p>
        </w:tc>
        <w:tc>
          <w:tcPr>
            <w:tcW w:w="4606" w:type="dxa"/>
            <w:shd w:val="clear" w:color="auto" w:fill="auto"/>
          </w:tcPr>
          <w:p w:rsidR="00943284" w:rsidRPr="00943284" w:rsidRDefault="00943284" w:rsidP="00F77C8D">
            <w:pPr>
              <w:spacing w:after="0"/>
              <w:jc w:val="center"/>
              <w:rPr>
                <w:rFonts w:ascii="Times New Roman" w:hAnsi="Times New Roman" w:cs="Times New Roman"/>
                <w:sz w:val="24"/>
                <w:szCs w:val="24"/>
              </w:rPr>
            </w:pPr>
            <w:r w:rsidRPr="00943284">
              <w:rPr>
                <w:rFonts w:ascii="Times New Roman" w:hAnsi="Times New Roman" w:cs="Times New Roman"/>
                <w:sz w:val="24"/>
                <w:szCs w:val="24"/>
              </w:rPr>
              <w:t>3</w:t>
            </w:r>
          </w:p>
        </w:tc>
      </w:tr>
      <w:tr w:rsidR="00943284" w:rsidRPr="00943284" w:rsidTr="00F77C8D">
        <w:tc>
          <w:tcPr>
            <w:tcW w:w="4498" w:type="dxa"/>
            <w:shd w:val="clear" w:color="auto" w:fill="auto"/>
          </w:tcPr>
          <w:p w:rsidR="00943284" w:rsidRPr="00943284" w:rsidRDefault="00943284" w:rsidP="00F77C8D">
            <w:pPr>
              <w:spacing w:after="0"/>
              <w:jc w:val="both"/>
              <w:rPr>
                <w:rFonts w:ascii="Times New Roman" w:hAnsi="Times New Roman" w:cs="Times New Roman"/>
                <w:sz w:val="24"/>
                <w:szCs w:val="24"/>
              </w:rPr>
            </w:pPr>
            <w:r w:rsidRPr="00943284">
              <w:rPr>
                <w:rFonts w:ascii="Times New Roman" w:hAnsi="Times New Roman" w:cs="Times New Roman"/>
                <w:sz w:val="24"/>
                <w:szCs w:val="24"/>
              </w:rPr>
              <w:t>Real Estate Agency</w:t>
            </w:r>
          </w:p>
        </w:tc>
        <w:tc>
          <w:tcPr>
            <w:tcW w:w="4606" w:type="dxa"/>
            <w:shd w:val="clear" w:color="auto" w:fill="auto"/>
          </w:tcPr>
          <w:p w:rsidR="00943284" w:rsidRPr="00943284" w:rsidRDefault="00943284" w:rsidP="00F77C8D">
            <w:pPr>
              <w:spacing w:after="0"/>
              <w:jc w:val="center"/>
              <w:rPr>
                <w:rFonts w:ascii="Times New Roman" w:hAnsi="Times New Roman" w:cs="Times New Roman"/>
                <w:sz w:val="24"/>
                <w:szCs w:val="24"/>
              </w:rPr>
            </w:pPr>
            <w:r w:rsidRPr="00943284">
              <w:rPr>
                <w:rFonts w:ascii="Times New Roman" w:hAnsi="Times New Roman" w:cs="Times New Roman"/>
                <w:sz w:val="24"/>
                <w:szCs w:val="24"/>
              </w:rPr>
              <w:t>1</w:t>
            </w:r>
          </w:p>
        </w:tc>
      </w:tr>
      <w:tr w:rsidR="00943284" w:rsidRPr="00943284" w:rsidTr="00F77C8D">
        <w:tc>
          <w:tcPr>
            <w:tcW w:w="4498" w:type="dxa"/>
            <w:shd w:val="clear" w:color="auto" w:fill="auto"/>
          </w:tcPr>
          <w:p w:rsidR="00943284" w:rsidRPr="00943284" w:rsidRDefault="00943284" w:rsidP="00F77C8D">
            <w:pPr>
              <w:spacing w:after="0"/>
              <w:jc w:val="both"/>
              <w:rPr>
                <w:rFonts w:ascii="Times New Roman" w:hAnsi="Times New Roman" w:cs="Times New Roman"/>
                <w:sz w:val="24"/>
                <w:szCs w:val="24"/>
              </w:rPr>
            </w:pPr>
            <w:r w:rsidRPr="00943284">
              <w:rPr>
                <w:rFonts w:ascii="Times New Roman" w:hAnsi="Times New Roman" w:cs="Times New Roman"/>
                <w:sz w:val="24"/>
                <w:szCs w:val="24"/>
              </w:rPr>
              <w:t>Advocate, notary</w:t>
            </w:r>
          </w:p>
        </w:tc>
        <w:tc>
          <w:tcPr>
            <w:tcW w:w="4606" w:type="dxa"/>
            <w:shd w:val="clear" w:color="auto" w:fill="auto"/>
          </w:tcPr>
          <w:p w:rsidR="00943284" w:rsidRPr="00943284" w:rsidRDefault="00943284" w:rsidP="00F77C8D">
            <w:pPr>
              <w:spacing w:after="0"/>
              <w:jc w:val="center"/>
              <w:rPr>
                <w:rFonts w:ascii="Times New Roman" w:hAnsi="Times New Roman" w:cs="Times New Roman"/>
                <w:sz w:val="24"/>
                <w:szCs w:val="24"/>
              </w:rPr>
            </w:pPr>
            <w:r w:rsidRPr="00943284">
              <w:rPr>
                <w:rFonts w:ascii="Times New Roman" w:hAnsi="Times New Roman" w:cs="Times New Roman"/>
                <w:sz w:val="24"/>
                <w:szCs w:val="24"/>
              </w:rPr>
              <w:t>15</w:t>
            </w:r>
          </w:p>
        </w:tc>
      </w:tr>
      <w:tr w:rsidR="00943284" w:rsidRPr="00943284" w:rsidTr="00F77C8D">
        <w:tc>
          <w:tcPr>
            <w:tcW w:w="4498" w:type="dxa"/>
            <w:shd w:val="clear" w:color="auto" w:fill="auto"/>
          </w:tcPr>
          <w:p w:rsidR="00943284" w:rsidRPr="00943284" w:rsidRDefault="00943284" w:rsidP="00F77C8D">
            <w:pPr>
              <w:spacing w:after="0"/>
              <w:jc w:val="both"/>
              <w:rPr>
                <w:rFonts w:ascii="Times New Roman" w:hAnsi="Times New Roman" w:cs="Times New Roman"/>
                <w:sz w:val="24"/>
                <w:szCs w:val="24"/>
              </w:rPr>
            </w:pPr>
            <w:r w:rsidRPr="00943284">
              <w:rPr>
                <w:rFonts w:ascii="Times New Roman" w:hAnsi="Times New Roman" w:cs="Times New Roman"/>
                <w:sz w:val="24"/>
                <w:szCs w:val="24"/>
              </w:rPr>
              <w:t>Others</w:t>
            </w:r>
          </w:p>
        </w:tc>
        <w:tc>
          <w:tcPr>
            <w:tcW w:w="4606" w:type="dxa"/>
            <w:shd w:val="clear" w:color="auto" w:fill="auto"/>
          </w:tcPr>
          <w:p w:rsidR="00943284" w:rsidRPr="00943284" w:rsidRDefault="00943284" w:rsidP="00F77C8D">
            <w:pPr>
              <w:spacing w:after="0"/>
              <w:jc w:val="center"/>
              <w:rPr>
                <w:rFonts w:ascii="Times New Roman" w:hAnsi="Times New Roman" w:cs="Times New Roman"/>
                <w:sz w:val="24"/>
                <w:szCs w:val="24"/>
              </w:rPr>
            </w:pPr>
            <w:r w:rsidRPr="00943284">
              <w:rPr>
                <w:rFonts w:ascii="Times New Roman" w:hAnsi="Times New Roman" w:cs="Times New Roman"/>
                <w:sz w:val="24"/>
                <w:szCs w:val="24"/>
              </w:rPr>
              <w:t>20</w:t>
            </w:r>
          </w:p>
        </w:tc>
      </w:tr>
      <w:tr w:rsidR="00943284" w:rsidRPr="00943284" w:rsidTr="00F77C8D">
        <w:tc>
          <w:tcPr>
            <w:tcW w:w="4498" w:type="dxa"/>
            <w:shd w:val="clear" w:color="auto" w:fill="auto"/>
            <w:vAlign w:val="center"/>
          </w:tcPr>
          <w:p w:rsidR="00943284" w:rsidRPr="00943284" w:rsidRDefault="00943284" w:rsidP="00F77C8D">
            <w:pPr>
              <w:spacing w:after="0"/>
              <w:rPr>
                <w:rFonts w:ascii="Times New Roman" w:hAnsi="Times New Roman" w:cs="Times New Roman"/>
                <w:sz w:val="24"/>
                <w:szCs w:val="24"/>
              </w:rPr>
            </w:pPr>
            <w:r w:rsidRPr="00943284">
              <w:rPr>
                <w:rFonts w:ascii="Times New Roman" w:hAnsi="Times New Roman" w:cs="Times New Roman"/>
                <w:b/>
                <w:bCs/>
                <w:sz w:val="20"/>
                <w:szCs w:val="20"/>
              </w:rPr>
              <w:t>TOTAL</w:t>
            </w:r>
          </w:p>
        </w:tc>
        <w:tc>
          <w:tcPr>
            <w:tcW w:w="4606" w:type="dxa"/>
            <w:shd w:val="clear" w:color="auto" w:fill="auto"/>
            <w:vAlign w:val="center"/>
          </w:tcPr>
          <w:p w:rsidR="00943284" w:rsidRPr="00943284" w:rsidRDefault="00943284" w:rsidP="00F77C8D">
            <w:pPr>
              <w:spacing w:after="0"/>
              <w:jc w:val="center"/>
              <w:rPr>
                <w:rFonts w:ascii="Times New Roman" w:hAnsi="Times New Roman" w:cs="Times New Roman"/>
                <w:b/>
                <w:bCs/>
                <w:sz w:val="24"/>
                <w:szCs w:val="24"/>
              </w:rPr>
            </w:pPr>
            <w:r w:rsidRPr="00943284">
              <w:rPr>
                <w:rFonts w:ascii="Times New Roman" w:hAnsi="Times New Roman" w:cs="Times New Roman"/>
                <w:b/>
                <w:bCs/>
                <w:sz w:val="24"/>
                <w:szCs w:val="24"/>
              </w:rPr>
              <w:t>156</w:t>
            </w:r>
          </w:p>
        </w:tc>
      </w:tr>
    </w:tbl>
    <w:p w:rsidR="00943284" w:rsidRPr="00943284" w:rsidRDefault="00943284" w:rsidP="00943284">
      <w:pPr>
        <w:spacing w:after="0"/>
        <w:jc w:val="both"/>
        <w:rPr>
          <w:rFonts w:ascii="Times New Roman" w:hAnsi="Times New Roman" w:cs="Times New Roman"/>
          <w:sz w:val="24"/>
          <w:szCs w:val="24"/>
        </w:rPr>
      </w:pPr>
    </w:p>
    <w:p w:rsidR="00943284" w:rsidRDefault="00943284" w:rsidP="00943284">
      <w:pPr>
        <w:spacing w:after="0"/>
        <w:jc w:val="both"/>
        <w:rPr>
          <w:rFonts w:ascii="Times New Roman" w:hAnsi="Times New Roman" w:cs="Times New Roman"/>
          <w:sz w:val="20"/>
          <w:szCs w:val="20"/>
        </w:rPr>
      </w:pPr>
      <w:r w:rsidRPr="00943284">
        <w:rPr>
          <w:rFonts w:ascii="Times New Roman" w:hAnsi="Times New Roman" w:cs="Times New Roman"/>
          <w:sz w:val="20"/>
          <w:szCs w:val="20"/>
        </w:rPr>
        <w:t>Graph No.1</w:t>
      </w:r>
      <w:r w:rsidRPr="00943284">
        <w:rPr>
          <w:sz w:val="20"/>
          <w:szCs w:val="20"/>
        </w:rPr>
        <w:t xml:space="preserve"> </w:t>
      </w:r>
      <w:r w:rsidRPr="00943284">
        <w:rPr>
          <w:rFonts w:ascii="Times New Roman" w:hAnsi="Times New Roman" w:cs="Times New Roman"/>
          <w:sz w:val="20"/>
          <w:szCs w:val="20"/>
        </w:rPr>
        <w:t>Dynamic development of received UTRs in</w:t>
      </w:r>
      <w:r w:rsidRPr="00943284">
        <w:rPr>
          <w:sz w:val="20"/>
          <w:szCs w:val="20"/>
        </w:rPr>
        <w:t xml:space="preserve"> </w:t>
      </w:r>
      <w:r w:rsidRPr="00943284">
        <w:rPr>
          <w:rFonts w:ascii="Times New Roman" w:hAnsi="Times New Roman" w:cs="Times New Roman"/>
          <w:sz w:val="20"/>
          <w:szCs w:val="20"/>
        </w:rPr>
        <w:t>2009 – 2013</w:t>
      </w:r>
    </w:p>
    <w:p w:rsidR="009459AF" w:rsidRPr="00943284" w:rsidRDefault="009459AF" w:rsidP="00943284">
      <w:pPr>
        <w:spacing w:after="0"/>
        <w:jc w:val="both"/>
        <w:rPr>
          <w:rFonts w:ascii="Times New Roman" w:hAnsi="Times New Roman" w:cs="Times New Roman"/>
          <w:sz w:val="20"/>
          <w:szCs w:val="20"/>
        </w:rPr>
      </w:pPr>
    </w:p>
    <w:p w:rsidR="00943284" w:rsidRDefault="00943284" w:rsidP="00943284">
      <w:pPr>
        <w:spacing w:after="0"/>
        <w:jc w:val="center"/>
        <w:rPr>
          <w:rFonts w:ascii="Times New Roman" w:hAnsi="Times New Roman" w:cs="Times New Roman"/>
          <w:sz w:val="20"/>
          <w:szCs w:val="20"/>
        </w:rPr>
      </w:pPr>
      <w:r w:rsidRPr="00943284">
        <w:rPr>
          <w:rFonts w:ascii="Times New Roman" w:hAnsi="Times New Roman" w:cs="Times New Roman"/>
          <w:noProof/>
          <w:sz w:val="20"/>
          <w:szCs w:val="20"/>
          <w:lang w:val="sk-SK" w:eastAsia="sk-SK"/>
        </w:rPr>
        <w:drawing>
          <wp:inline distT="0" distB="0" distL="0" distR="0" wp14:anchorId="49E5C8F2" wp14:editId="0F5ACE00">
            <wp:extent cx="5756910" cy="2934335"/>
            <wp:effectExtent l="0" t="0" r="0" b="0"/>
            <wp:docPr id="7"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59AF" w:rsidRDefault="009459AF" w:rsidP="00943284">
      <w:pPr>
        <w:spacing w:after="0"/>
        <w:jc w:val="center"/>
        <w:rPr>
          <w:rFonts w:ascii="Times New Roman" w:hAnsi="Times New Roman" w:cs="Times New Roman"/>
          <w:sz w:val="20"/>
          <w:szCs w:val="20"/>
        </w:rPr>
      </w:pPr>
    </w:p>
    <w:p w:rsidR="009459AF" w:rsidRDefault="009459AF" w:rsidP="00943284">
      <w:pPr>
        <w:spacing w:after="0"/>
        <w:jc w:val="center"/>
        <w:rPr>
          <w:rFonts w:ascii="Times New Roman" w:hAnsi="Times New Roman" w:cs="Times New Roman"/>
          <w:sz w:val="20"/>
          <w:szCs w:val="20"/>
        </w:rPr>
      </w:pPr>
    </w:p>
    <w:p w:rsidR="007F38C4" w:rsidRPr="00943284" w:rsidRDefault="007F38C4" w:rsidP="00943284">
      <w:pPr>
        <w:spacing w:after="0"/>
        <w:jc w:val="center"/>
        <w:rPr>
          <w:rFonts w:ascii="Times New Roman" w:hAnsi="Times New Roman" w:cs="Times New Roman"/>
          <w:sz w:val="20"/>
          <w:szCs w:val="20"/>
        </w:rPr>
      </w:pPr>
    </w:p>
    <w:p w:rsidR="00F77C8D" w:rsidRPr="009459AF" w:rsidRDefault="00F77C8D" w:rsidP="00F77C8D">
      <w:pPr>
        <w:pStyle w:val="Nadpis2"/>
        <w:rPr>
          <w:rFonts w:ascii="Times New Roman" w:hAnsi="Times New Roman"/>
          <w:color w:val="auto"/>
          <w:sz w:val="24"/>
          <w:szCs w:val="24"/>
          <w:lang w:val="en-US"/>
        </w:rPr>
      </w:pPr>
      <w:bookmarkStart w:id="10" w:name="_Toc382129833"/>
      <w:bookmarkStart w:id="11" w:name="_Toc382129995"/>
      <w:bookmarkStart w:id="12" w:name="_Toc382130526"/>
      <w:bookmarkStart w:id="13" w:name="_Toc382141485"/>
      <w:bookmarkStart w:id="14" w:name="_Toc382141682"/>
      <w:r w:rsidRPr="003C58D6">
        <w:rPr>
          <w:rFonts w:ascii="Times New Roman" w:hAnsi="Times New Roman"/>
          <w:color w:val="auto"/>
          <w:sz w:val="24"/>
          <w:szCs w:val="24"/>
          <w:lang w:val="en-US"/>
        </w:rPr>
        <w:lastRenderedPageBreak/>
        <w:t xml:space="preserve">2.1 The postponement of </w:t>
      </w:r>
      <w:bookmarkEnd w:id="10"/>
      <w:bookmarkEnd w:id="11"/>
      <w:bookmarkEnd w:id="12"/>
      <w:bookmarkEnd w:id="13"/>
      <w:bookmarkEnd w:id="14"/>
      <w:r w:rsidRPr="003C58D6">
        <w:rPr>
          <w:rFonts w:ascii="Times New Roman" w:hAnsi="Times New Roman"/>
          <w:color w:val="auto"/>
          <w:sz w:val="24"/>
          <w:szCs w:val="24"/>
          <w:lang w:val="en-US"/>
        </w:rPr>
        <w:t>unusual transaction</w:t>
      </w:r>
    </w:p>
    <w:p w:rsidR="00F77C8D" w:rsidRPr="006D215F" w:rsidRDefault="00F77C8D" w:rsidP="00F77C8D">
      <w:pPr>
        <w:spacing w:after="0"/>
        <w:jc w:val="both"/>
        <w:rPr>
          <w:rFonts w:ascii="Times New Roman" w:hAnsi="Times New Roman"/>
          <w:sz w:val="24"/>
          <w:szCs w:val="24"/>
          <w:lang w:val="en-US"/>
        </w:rPr>
      </w:pPr>
    </w:p>
    <w:p w:rsidR="00F77C8D" w:rsidRPr="006D215F" w:rsidRDefault="00F77C8D" w:rsidP="00F77C8D">
      <w:pPr>
        <w:spacing w:after="0" w:line="240" w:lineRule="auto"/>
        <w:ind w:firstLine="709"/>
        <w:jc w:val="both"/>
        <w:rPr>
          <w:rFonts w:ascii="Times New Roman" w:hAnsi="Times New Roman"/>
          <w:sz w:val="24"/>
          <w:szCs w:val="24"/>
          <w:lang w:val="en-US"/>
        </w:rPr>
      </w:pPr>
      <w:r w:rsidRPr="006D215F">
        <w:rPr>
          <w:rFonts w:ascii="Times New Roman" w:hAnsi="Times New Roman"/>
          <w:sz w:val="24"/>
          <w:szCs w:val="24"/>
          <w:lang w:val="en-US"/>
        </w:rPr>
        <w:t xml:space="preserve">A significant power (in the justified cases quite frequently used), which </w:t>
      </w:r>
      <w:r w:rsidR="0008130F">
        <w:rPr>
          <w:rFonts w:ascii="Times New Roman" w:hAnsi="Times New Roman" w:cs="Times New Roman"/>
          <w:sz w:val="24"/>
          <w:szCs w:val="24"/>
        </w:rPr>
        <w:t>AML/CFT Law</w:t>
      </w:r>
      <w:r w:rsidRPr="006D215F">
        <w:rPr>
          <w:rFonts w:ascii="Times New Roman" w:hAnsi="Times New Roman"/>
          <w:sz w:val="24"/>
          <w:szCs w:val="24"/>
          <w:lang w:val="en-US"/>
        </w:rPr>
        <w:t xml:space="preserve"> admits to the FSJ is the juridical institute of postponement of </w:t>
      </w:r>
      <w:r w:rsidR="0008130F">
        <w:rPr>
          <w:rFonts w:ascii="Times New Roman" w:hAnsi="Times New Roman"/>
          <w:sz w:val="24"/>
          <w:szCs w:val="24"/>
          <w:lang w:val="en-US"/>
        </w:rPr>
        <w:t>UTRs (</w:t>
      </w:r>
      <w:r w:rsidRPr="006D215F">
        <w:rPr>
          <w:rFonts w:ascii="Times New Roman" w:hAnsi="Times New Roman"/>
          <w:sz w:val="24"/>
          <w:szCs w:val="24"/>
          <w:lang w:val="en-US"/>
        </w:rPr>
        <w:t xml:space="preserve">Section 16). This power is of great importance since it enables the possible subsequent seizure of funds derived from criminal activities for the purpose of criminal proceedings. The high efficiency of the subsequent securing of funds in criminal proceedings in relation to the use of that institute is based on the monitoring and investigation of financial transactions in near real time. Out of the total number of the received UTRs there were 72 postponed </w:t>
      </w:r>
      <w:r w:rsidR="0008130F">
        <w:rPr>
          <w:rFonts w:ascii="Times New Roman" w:hAnsi="Times New Roman"/>
          <w:sz w:val="24"/>
          <w:szCs w:val="24"/>
          <w:lang w:val="en-US"/>
        </w:rPr>
        <w:t>UTRs</w:t>
      </w:r>
      <w:r w:rsidRPr="006D215F">
        <w:rPr>
          <w:rFonts w:ascii="Times New Roman" w:hAnsi="Times New Roman"/>
          <w:sz w:val="24"/>
          <w:szCs w:val="24"/>
          <w:lang w:val="en-US"/>
        </w:rPr>
        <w:t xml:space="preserve"> in a total value of 17,743,422,</w:t>
      </w:r>
      <w:r w:rsidRPr="006D215F">
        <w:rPr>
          <w:rFonts w:ascii="Times New Roman" w:hAnsi="Times New Roman"/>
          <w:sz w:val="24"/>
          <w:szCs w:val="24"/>
          <w:lang w:val="en-US"/>
        </w:rPr>
        <w:noBreakHyphen/>
        <w:t>EUR in 2013.</w:t>
      </w:r>
    </w:p>
    <w:p w:rsidR="00F77C8D" w:rsidRPr="006D215F" w:rsidRDefault="00F77C8D" w:rsidP="00F77C8D">
      <w:pPr>
        <w:spacing w:after="0"/>
        <w:jc w:val="both"/>
        <w:rPr>
          <w:rFonts w:ascii="Times New Roman" w:hAnsi="Times New Roman"/>
          <w:sz w:val="24"/>
          <w:szCs w:val="24"/>
          <w:lang w:val="en-US"/>
        </w:rPr>
      </w:pPr>
    </w:p>
    <w:p w:rsidR="00F77C8D" w:rsidRPr="006D215F" w:rsidRDefault="00F77C8D" w:rsidP="00F77C8D">
      <w:pPr>
        <w:spacing w:after="0"/>
        <w:rPr>
          <w:rFonts w:ascii="Times New Roman" w:hAnsi="Times New Roman"/>
          <w:sz w:val="20"/>
          <w:szCs w:val="20"/>
          <w:lang w:val="en-US"/>
        </w:rPr>
      </w:pPr>
      <w:r w:rsidRPr="006D215F">
        <w:rPr>
          <w:rFonts w:ascii="Times New Roman" w:hAnsi="Times New Roman"/>
          <w:sz w:val="20"/>
          <w:szCs w:val="20"/>
          <w:lang w:val="en-US"/>
        </w:rPr>
        <w:t xml:space="preserve">Chart No. 4: Statistical data of postponed </w:t>
      </w:r>
      <w:r w:rsidR="0008130F">
        <w:rPr>
          <w:rFonts w:ascii="Times New Roman" w:hAnsi="Times New Roman"/>
          <w:sz w:val="20"/>
          <w:szCs w:val="20"/>
          <w:lang w:val="en-US"/>
        </w:rPr>
        <w:t>UTRs</w:t>
      </w:r>
      <w:r w:rsidRPr="006D215F">
        <w:rPr>
          <w:rFonts w:ascii="Times New Roman" w:hAnsi="Times New Roman"/>
          <w:sz w:val="20"/>
          <w:szCs w:val="20"/>
          <w:lang w:val="en-US"/>
        </w:rPr>
        <w:t xml:space="preserve"> in 2013</w:t>
      </w:r>
    </w:p>
    <w:p w:rsidR="00F77C8D" w:rsidRPr="006D215F" w:rsidRDefault="00F77C8D" w:rsidP="00F77C8D">
      <w:pPr>
        <w:spacing w:after="0"/>
        <w:rPr>
          <w:rFonts w:ascii="Times New Roman" w:hAnsi="Times New Roman"/>
          <w:sz w:val="24"/>
          <w:szCs w:val="24"/>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6"/>
        <w:gridCol w:w="3928"/>
      </w:tblGrid>
      <w:tr w:rsidR="00F77C8D" w:rsidRPr="006D215F" w:rsidTr="00F77C8D">
        <w:tc>
          <w:tcPr>
            <w:tcW w:w="5176" w:type="dxa"/>
          </w:tcPr>
          <w:p w:rsidR="00F77C8D" w:rsidRPr="006D215F" w:rsidRDefault="00F77C8D" w:rsidP="0008130F">
            <w:pPr>
              <w:spacing w:after="0"/>
              <w:jc w:val="both"/>
              <w:rPr>
                <w:rFonts w:ascii="Times New Roman" w:hAnsi="Times New Roman"/>
                <w:sz w:val="24"/>
                <w:szCs w:val="24"/>
                <w:lang w:val="en-US"/>
              </w:rPr>
            </w:pPr>
            <w:r w:rsidRPr="006D215F">
              <w:rPr>
                <w:rFonts w:ascii="Times New Roman" w:hAnsi="Times New Roman"/>
                <w:sz w:val="24"/>
                <w:szCs w:val="24"/>
                <w:lang w:val="en-US"/>
              </w:rPr>
              <w:t xml:space="preserve">Total number of postponed </w:t>
            </w:r>
            <w:r w:rsidR="0008130F">
              <w:rPr>
                <w:rFonts w:ascii="Times New Roman" w:hAnsi="Times New Roman"/>
                <w:sz w:val="24"/>
                <w:szCs w:val="24"/>
                <w:lang w:val="en-US"/>
              </w:rPr>
              <w:t>UTR</w:t>
            </w:r>
          </w:p>
        </w:tc>
        <w:tc>
          <w:tcPr>
            <w:tcW w:w="3928"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72</w:t>
            </w:r>
          </w:p>
        </w:tc>
      </w:tr>
      <w:tr w:rsidR="00F77C8D" w:rsidRPr="006D215F" w:rsidTr="00F77C8D">
        <w:tc>
          <w:tcPr>
            <w:tcW w:w="5176" w:type="dxa"/>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szCs w:val="24"/>
                <w:lang w:val="en-US"/>
              </w:rPr>
              <w:t xml:space="preserve">Postponement </w:t>
            </w:r>
            <w:r w:rsidR="0008130F">
              <w:rPr>
                <w:rFonts w:ascii="Times New Roman" w:hAnsi="Times New Roman"/>
                <w:sz w:val="24"/>
                <w:szCs w:val="24"/>
                <w:lang w:val="en-US"/>
              </w:rPr>
              <w:t xml:space="preserve">of UTR </w:t>
            </w:r>
            <w:r w:rsidRPr="006D215F">
              <w:rPr>
                <w:rFonts w:ascii="Times New Roman" w:hAnsi="Times New Roman"/>
                <w:sz w:val="24"/>
                <w:szCs w:val="24"/>
                <w:lang w:val="en-US"/>
              </w:rPr>
              <w:t>by obliged entity</w:t>
            </w:r>
          </w:p>
        </w:tc>
        <w:tc>
          <w:tcPr>
            <w:tcW w:w="3928"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71</w:t>
            </w:r>
          </w:p>
        </w:tc>
      </w:tr>
      <w:tr w:rsidR="00F77C8D" w:rsidRPr="006D215F" w:rsidTr="00F77C8D">
        <w:tc>
          <w:tcPr>
            <w:tcW w:w="5176" w:type="dxa"/>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szCs w:val="24"/>
                <w:lang w:val="en-US"/>
              </w:rPr>
              <w:t xml:space="preserve">Postponement </w:t>
            </w:r>
            <w:r w:rsidR="0008130F">
              <w:rPr>
                <w:rFonts w:ascii="Times New Roman" w:hAnsi="Times New Roman"/>
                <w:sz w:val="24"/>
                <w:szCs w:val="24"/>
                <w:lang w:val="en-US"/>
              </w:rPr>
              <w:t xml:space="preserve">of UTR </w:t>
            </w:r>
            <w:r w:rsidRPr="006D215F">
              <w:rPr>
                <w:rFonts w:ascii="Times New Roman" w:hAnsi="Times New Roman"/>
                <w:sz w:val="24"/>
                <w:szCs w:val="24"/>
                <w:lang w:val="en-US"/>
              </w:rPr>
              <w:t>on request by FSJ</w:t>
            </w:r>
          </w:p>
        </w:tc>
        <w:tc>
          <w:tcPr>
            <w:tcW w:w="3928"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1</w:t>
            </w:r>
          </w:p>
        </w:tc>
      </w:tr>
      <w:tr w:rsidR="00F77C8D" w:rsidRPr="006D215F" w:rsidTr="00F77C8D">
        <w:tc>
          <w:tcPr>
            <w:tcW w:w="5176" w:type="dxa"/>
          </w:tcPr>
          <w:p w:rsidR="00F77C8D" w:rsidRPr="006D215F" w:rsidRDefault="00F77C8D" w:rsidP="0008130F">
            <w:pPr>
              <w:spacing w:after="0"/>
              <w:jc w:val="both"/>
              <w:rPr>
                <w:rFonts w:ascii="Times New Roman" w:hAnsi="Times New Roman"/>
                <w:sz w:val="24"/>
                <w:szCs w:val="24"/>
                <w:lang w:val="en-US"/>
              </w:rPr>
            </w:pPr>
            <w:r w:rsidRPr="006D215F">
              <w:rPr>
                <w:rFonts w:ascii="Times New Roman" w:hAnsi="Times New Roman"/>
                <w:sz w:val="24"/>
                <w:szCs w:val="24"/>
                <w:lang w:val="en-US"/>
              </w:rPr>
              <w:t xml:space="preserve">Postponed </w:t>
            </w:r>
            <w:r w:rsidR="0008130F">
              <w:rPr>
                <w:rFonts w:ascii="Times New Roman" w:hAnsi="Times New Roman"/>
                <w:sz w:val="24"/>
                <w:szCs w:val="24"/>
                <w:lang w:val="en-US"/>
              </w:rPr>
              <w:t>UTRs</w:t>
            </w:r>
            <w:r w:rsidRPr="006D215F">
              <w:rPr>
                <w:rFonts w:ascii="Times New Roman" w:hAnsi="Times New Roman"/>
                <w:sz w:val="24"/>
                <w:szCs w:val="24"/>
                <w:lang w:val="en-US"/>
              </w:rPr>
              <w:t xml:space="preserve"> submitted to the competent local LEA</w:t>
            </w:r>
          </w:p>
        </w:tc>
        <w:tc>
          <w:tcPr>
            <w:tcW w:w="3928"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45</w:t>
            </w:r>
          </w:p>
        </w:tc>
      </w:tr>
      <w:tr w:rsidR="00F77C8D" w:rsidRPr="006D215F" w:rsidTr="00F77C8D">
        <w:tc>
          <w:tcPr>
            <w:tcW w:w="5176" w:type="dxa"/>
          </w:tcPr>
          <w:p w:rsidR="00F77C8D" w:rsidRPr="006D215F" w:rsidRDefault="00F77C8D" w:rsidP="0008130F">
            <w:pPr>
              <w:spacing w:after="0"/>
              <w:jc w:val="both"/>
              <w:rPr>
                <w:rFonts w:ascii="Times New Roman" w:hAnsi="Times New Roman"/>
                <w:sz w:val="24"/>
                <w:szCs w:val="24"/>
                <w:lang w:val="en-US"/>
              </w:rPr>
            </w:pPr>
            <w:r w:rsidRPr="006D215F">
              <w:rPr>
                <w:rFonts w:ascii="Times New Roman" w:hAnsi="Times New Roman"/>
                <w:sz w:val="24"/>
                <w:szCs w:val="24"/>
                <w:lang w:val="en-US"/>
              </w:rPr>
              <w:t xml:space="preserve">Total amount of postponed </w:t>
            </w:r>
            <w:r w:rsidR="0008130F">
              <w:rPr>
                <w:rFonts w:ascii="Times New Roman" w:hAnsi="Times New Roman"/>
                <w:sz w:val="24"/>
                <w:szCs w:val="24"/>
                <w:lang w:val="en-US"/>
              </w:rPr>
              <w:t>UTRs</w:t>
            </w:r>
          </w:p>
        </w:tc>
        <w:tc>
          <w:tcPr>
            <w:tcW w:w="3928"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17.743.422,- EUR</w:t>
            </w:r>
          </w:p>
        </w:tc>
      </w:tr>
    </w:tbl>
    <w:p w:rsidR="00F77C8D" w:rsidRPr="006D215F" w:rsidRDefault="00F77C8D" w:rsidP="00F77C8D">
      <w:pPr>
        <w:spacing w:after="0"/>
        <w:jc w:val="both"/>
        <w:rPr>
          <w:rFonts w:ascii="Times New Roman" w:hAnsi="Times New Roman"/>
          <w:sz w:val="24"/>
          <w:szCs w:val="24"/>
          <w:lang w:val="en-US"/>
        </w:rPr>
      </w:pPr>
    </w:p>
    <w:p w:rsidR="00F77C8D" w:rsidRPr="003C58D6" w:rsidRDefault="00F77C8D" w:rsidP="00F77C8D">
      <w:pPr>
        <w:pStyle w:val="Nadpis2"/>
        <w:rPr>
          <w:rFonts w:ascii="Times New Roman" w:hAnsi="Times New Roman"/>
          <w:i/>
          <w:iCs/>
          <w:color w:val="auto"/>
          <w:sz w:val="24"/>
          <w:szCs w:val="24"/>
          <w:lang w:val="en-US"/>
        </w:rPr>
      </w:pPr>
      <w:bookmarkStart w:id="15" w:name="_Toc382129834"/>
      <w:bookmarkStart w:id="16" w:name="_Toc382129996"/>
      <w:bookmarkStart w:id="17" w:name="_Toc382130527"/>
      <w:bookmarkStart w:id="18" w:name="_Toc382141486"/>
      <w:bookmarkStart w:id="19" w:name="_Toc382141683"/>
      <w:r w:rsidRPr="003C58D6">
        <w:rPr>
          <w:rFonts w:ascii="Times New Roman" w:hAnsi="Times New Roman"/>
          <w:color w:val="auto"/>
          <w:sz w:val="24"/>
          <w:szCs w:val="24"/>
          <w:lang w:val="en-US"/>
        </w:rPr>
        <w:t>2. 2 Types of the recorded UTRs and typolog</w:t>
      </w:r>
      <w:bookmarkEnd w:id="15"/>
      <w:bookmarkEnd w:id="16"/>
      <w:bookmarkEnd w:id="17"/>
      <w:bookmarkEnd w:id="18"/>
      <w:bookmarkEnd w:id="19"/>
      <w:r w:rsidRPr="003C58D6">
        <w:rPr>
          <w:rFonts w:ascii="Times New Roman" w:hAnsi="Times New Roman"/>
          <w:color w:val="auto"/>
          <w:sz w:val="24"/>
          <w:szCs w:val="24"/>
          <w:lang w:val="en-US"/>
        </w:rPr>
        <w:t xml:space="preserve">y </w:t>
      </w:r>
    </w:p>
    <w:p w:rsidR="00F77C8D" w:rsidRPr="006D215F" w:rsidRDefault="00F77C8D" w:rsidP="00F77C8D">
      <w:pPr>
        <w:spacing w:after="0" w:line="240" w:lineRule="auto"/>
        <w:jc w:val="both"/>
        <w:rPr>
          <w:rFonts w:ascii="Times New Roman" w:hAnsi="Times New Roman"/>
          <w:sz w:val="24"/>
          <w:szCs w:val="24"/>
          <w:lang w:val="en-US"/>
        </w:rPr>
      </w:pPr>
    </w:p>
    <w:p w:rsidR="00F77C8D" w:rsidRPr="006D215F" w:rsidRDefault="00F77C8D" w:rsidP="00F77C8D">
      <w:pPr>
        <w:spacing w:after="0" w:line="240" w:lineRule="auto"/>
        <w:ind w:firstLine="709"/>
        <w:jc w:val="both"/>
        <w:rPr>
          <w:rFonts w:ascii="Times New Roman" w:hAnsi="Times New Roman"/>
          <w:sz w:val="24"/>
          <w:szCs w:val="24"/>
          <w:lang w:val="en-US"/>
        </w:rPr>
      </w:pPr>
      <w:r w:rsidRPr="006D215F">
        <w:rPr>
          <w:rFonts w:ascii="Times New Roman" w:hAnsi="Times New Roman"/>
          <w:sz w:val="24"/>
          <w:szCs w:val="24"/>
          <w:lang w:val="en-US"/>
        </w:rPr>
        <w:t>In the past period of time, which is documented in this annual report, these were the following forms of appearance and methods of legalization and terrorist financing recorded most commonly:</w:t>
      </w:r>
    </w:p>
    <w:p w:rsidR="00F77C8D" w:rsidRPr="006D215F" w:rsidRDefault="00F77C8D" w:rsidP="00F77C8D">
      <w:pPr>
        <w:spacing w:before="100" w:beforeAutospacing="1" w:after="100" w:afterAutospacing="1" w:line="240" w:lineRule="auto"/>
        <w:ind w:firstLine="709"/>
        <w:jc w:val="both"/>
        <w:rPr>
          <w:rFonts w:ascii="Times New Roman" w:hAnsi="Times New Roman"/>
          <w:sz w:val="24"/>
          <w:szCs w:val="24"/>
          <w:lang w:val="en-US"/>
        </w:rPr>
      </w:pPr>
      <w:r w:rsidRPr="006D215F">
        <w:rPr>
          <w:rFonts w:ascii="Times New Roman" w:hAnsi="Times New Roman"/>
          <w:sz w:val="24"/>
          <w:szCs w:val="24"/>
          <w:lang w:val="en-US"/>
        </w:rPr>
        <w:t>There were more cases reported to FSJ concerning the opening of current bank accounts for natural persons - non-entrepreneurs in banks seated in the Slovak Republic. By the subsequent verification by the bank it was found out that the</w:t>
      </w:r>
      <w:r>
        <w:rPr>
          <w:rFonts w:ascii="Times New Roman" w:hAnsi="Times New Roman"/>
          <w:sz w:val="24"/>
          <w:szCs w:val="24"/>
          <w:lang w:val="en-US"/>
        </w:rPr>
        <w:t>s</w:t>
      </w:r>
      <w:r w:rsidRPr="006D215F">
        <w:rPr>
          <w:rFonts w:ascii="Times New Roman" w:hAnsi="Times New Roman"/>
          <w:sz w:val="24"/>
          <w:szCs w:val="24"/>
          <w:lang w:val="en-US"/>
        </w:rPr>
        <w:t>e were</w:t>
      </w:r>
      <w:r>
        <w:rPr>
          <w:rFonts w:ascii="Times New Roman" w:hAnsi="Times New Roman"/>
          <w:sz w:val="24"/>
          <w:szCs w:val="24"/>
          <w:lang w:val="en-US"/>
        </w:rPr>
        <w:t xml:space="preserve"> used for</w:t>
      </w:r>
      <w:r w:rsidRPr="006D215F">
        <w:rPr>
          <w:rFonts w:ascii="Times New Roman" w:hAnsi="Times New Roman"/>
          <w:sz w:val="24"/>
          <w:szCs w:val="24"/>
          <w:lang w:val="en-US"/>
        </w:rPr>
        <w:t xml:space="preserve"> payments associated with</w:t>
      </w:r>
      <w:r>
        <w:rPr>
          <w:rFonts w:ascii="Times New Roman" w:hAnsi="Times New Roman"/>
          <w:sz w:val="24"/>
          <w:szCs w:val="24"/>
          <w:lang w:val="en-US"/>
        </w:rPr>
        <w:t xml:space="preserve"> </w:t>
      </w:r>
      <w:r w:rsidRPr="006D215F">
        <w:rPr>
          <w:rFonts w:ascii="Times New Roman" w:hAnsi="Times New Roman"/>
          <w:sz w:val="24"/>
          <w:szCs w:val="24"/>
          <w:lang w:val="en-US"/>
        </w:rPr>
        <w:t xml:space="preserve">business activities. Another variation of this form of appearance was the opening of current bank accounts for natural persons on the ground of stolen, counterfeit or forged identification documents presented to the banks. The described method of misuse of current bank accounts is also partly enabled by the bank where </w:t>
      </w:r>
      <w:r>
        <w:rPr>
          <w:rFonts w:ascii="Times New Roman" w:hAnsi="Times New Roman"/>
          <w:sz w:val="24"/>
          <w:szCs w:val="24"/>
          <w:lang w:val="en-US"/>
        </w:rPr>
        <w:t>the</w:t>
      </w:r>
      <w:r w:rsidRPr="006D215F">
        <w:rPr>
          <w:rFonts w:ascii="Times New Roman" w:hAnsi="Times New Roman"/>
          <w:sz w:val="24"/>
          <w:szCs w:val="24"/>
          <w:lang w:val="en-US"/>
        </w:rPr>
        <w:t xml:space="preserve"> contractual documentation </w:t>
      </w:r>
      <w:r>
        <w:rPr>
          <w:rFonts w:ascii="Times New Roman" w:hAnsi="Times New Roman"/>
          <w:sz w:val="24"/>
          <w:szCs w:val="24"/>
          <w:lang w:val="en-US"/>
        </w:rPr>
        <w:t>for the</w:t>
      </w:r>
      <w:r w:rsidRPr="006D215F">
        <w:rPr>
          <w:rFonts w:ascii="Times New Roman" w:hAnsi="Times New Roman"/>
          <w:sz w:val="24"/>
          <w:szCs w:val="24"/>
          <w:lang w:val="en-US"/>
        </w:rPr>
        <w:t xml:space="preserve"> contractual </w:t>
      </w:r>
      <w:r>
        <w:rPr>
          <w:rFonts w:ascii="Times New Roman" w:hAnsi="Times New Roman"/>
          <w:sz w:val="24"/>
          <w:szCs w:val="24"/>
          <w:lang w:val="en-US"/>
        </w:rPr>
        <w:t>opening</w:t>
      </w:r>
      <w:r w:rsidRPr="006D215F">
        <w:rPr>
          <w:rFonts w:ascii="Times New Roman" w:hAnsi="Times New Roman"/>
          <w:sz w:val="24"/>
          <w:szCs w:val="24"/>
          <w:lang w:val="en-US"/>
        </w:rPr>
        <w:t xml:space="preserve"> of bank accounts </w:t>
      </w:r>
      <w:r>
        <w:rPr>
          <w:rFonts w:ascii="Times New Roman" w:hAnsi="Times New Roman"/>
          <w:sz w:val="24"/>
          <w:szCs w:val="24"/>
          <w:lang w:val="en-US"/>
        </w:rPr>
        <w:t xml:space="preserve">is </w:t>
      </w:r>
      <w:r w:rsidRPr="006D215F">
        <w:rPr>
          <w:rFonts w:ascii="Times New Roman" w:hAnsi="Times New Roman"/>
          <w:sz w:val="24"/>
          <w:szCs w:val="24"/>
          <w:lang w:val="en-US"/>
        </w:rPr>
        <w:t xml:space="preserve">delivered by </w:t>
      </w:r>
      <w:r>
        <w:rPr>
          <w:rFonts w:ascii="Times New Roman" w:hAnsi="Times New Roman"/>
          <w:sz w:val="24"/>
          <w:szCs w:val="24"/>
          <w:lang w:val="en-US"/>
        </w:rPr>
        <w:t>delivery</w:t>
      </w:r>
      <w:r w:rsidRPr="006D215F">
        <w:rPr>
          <w:rFonts w:ascii="Times New Roman" w:hAnsi="Times New Roman"/>
          <w:sz w:val="24"/>
          <w:szCs w:val="24"/>
          <w:lang w:val="en-US"/>
        </w:rPr>
        <w:t xml:space="preserve"> services to the client and the subsequent verification of identity depends on the employee of a </w:t>
      </w:r>
      <w:r>
        <w:rPr>
          <w:rFonts w:ascii="Times New Roman" w:hAnsi="Times New Roman"/>
          <w:sz w:val="24"/>
          <w:szCs w:val="24"/>
          <w:lang w:val="en-US"/>
        </w:rPr>
        <w:t>delivery</w:t>
      </w:r>
      <w:r w:rsidRPr="006D215F">
        <w:rPr>
          <w:rFonts w:ascii="Times New Roman" w:hAnsi="Times New Roman"/>
          <w:sz w:val="24"/>
          <w:szCs w:val="24"/>
          <w:lang w:val="en-US"/>
        </w:rPr>
        <w:t xml:space="preserve"> company and not </w:t>
      </w:r>
      <w:r>
        <w:rPr>
          <w:rFonts w:ascii="Times New Roman" w:hAnsi="Times New Roman"/>
          <w:sz w:val="24"/>
          <w:szCs w:val="24"/>
          <w:lang w:val="en-US"/>
        </w:rPr>
        <w:t>on</w:t>
      </w:r>
      <w:r w:rsidRPr="006D215F">
        <w:rPr>
          <w:rFonts w:ascii="Times New Roman" w:hAnsi="Times New Roman"/>
          <w:sz w:val="24"/>
          <w:szCs w:val="24"/>
          <w:lang w:val="en-US"/>
        </w:rPr>
        <w:t xml:space="preserve"> the bank.</w:t>
      </w:r>
    </w:p>
    <w:p w:rsidR="00F77C8D" w:rsidRPr="006D215F" w:rsidRDefault="00F77C8D" w:rsidP="00F77C8D">
      <w:pPr>
        <w:spacing w:before="100" w:beforeAutospacing="1" w:after="100" w:afterAutospacing="1" w:line="240" w:lineRule="auto"/>
        <w:ind w:firstLine="709"/>
        <w:jc w:val="both"/>
        <w:rPr>
          <w:rFonts w:ascii="Times New Roman" w:hAnsi="Times New Roman"/>
          <w:sz w:val="24"/>
          <w:szCs w:val="24"/>
          <w:lang w:val="en-US"/>
        </w:rPr>
      </w:pPr>
      <w:r w:rsidRPr="006D215F">
        <w:rPr>
          <w:rFonts w:ascii="Times New Roman" w:hAnsi="Times New Roman"/>
          <w:sz w:val="24"/>
          <w:szCs w:val="24"/>
          <w:lang w:val="en-US"/>
        </w:rPr>
        <w:t xml:space="preserve">In the period under review FSJ recorded the placement of funds by Hungarian citizens </w:t>
      </w:r>
      <w:r>
        <w:rPr>
          <w:rFonts w:ascii="Times New Roman" w:hAnsi="Times New Roman"/>
          <w:sz w:val="24"/>
          <w:szCs w:val="24"/>
          <w:lang w:val="en-US"/>
        </w:rPr>
        <w:t>using</w:t>
      </w:r>
      <w:r w:rsidRPr="006D215F">
        <w:rPr>
          <w:rFonts w:ascii="Times New Roman" w:hAnsi="Times New Roman"/>
          <w:sz w:val="24"/>
          <w:szCs w:val="24"/>
          <w:lang w:val="en-US"/>
        </w:rPr>
        <w:t xml:space="preserve"> bank accounts belonging to companies seated in an off-shore-zone but </w:t>
      </w:r>
      <w:r>
        <w:rPr>
          <w:rFonts w:ascii="Times New Roman" w:hAnsi="Times New Roman"/>
          <w:sz w:val="24"/>
          <w:szCs w:val="24"/>
          <w:lang w:val="en-US"/>
        </w:rPr>
        <w:t>opened</w:t>
      </w:r>
      <w:r w:rsidRPr="006D215F">
        <w:rPr>
          <w:rFonts w:ascii="Times New Roman" w:hAnsi="Times New Roman"/>
          <w:sz w:val="24"/>
          <w:szCs w:val="24"/>
          <w:lang w:val="en-US"/>
        </w:rPr>
        <w:t xml:space="preserve"> </w:t>
      </w:r>
      <w:r>
        <w:rPr>
          <w:rFonts w:ascii="Times New Roman" w:hAnsi="Times New Roman"/>
          <w:sz w:val="24"/>
          <w:szCs w:val="24"/>
          <w:lang w:val="en-US"/>
        </w:rPr>
        <w:t>in</w:t>
      </w:r>
      <w:r w:rsidRPr="006D215F">
        <w:rPr>
          <w:rFonts w:ascii="Times New Roman" w:hAnsi="Times New Roman"/>
          <w:sz w:val="24"/>
          <w:szCs w:val="24"/>
          <w:lang w:val="en-US"/>
        </w:rPr>
        <w:t xml:space="preserve"> banks in Slovakia with the subsequent wire transfers to other bank accounts also held in off-shore-areas, whereby the holders of disposal rights to these business bank accounts of legal entities are mostly foreign nationals (e.g. Poles, Czechs). This international element of disposal rights holders is apparently </w:t>
      </w:r>
      <w:r>
        <w:rPr>
          <w:rFonts w:ascii="Times New Roman" w:hAnsi="Times New Roman"/>
          <w:sz w:val="24"/>
          <w:szCs w:val="24"/>
          <w:lang w:val="en-US"/>
        </w:rPr>
        <w:t>inten</w:t>
      </w:r>
      <w:r w:rsidR="00052EC7">
        <w:rPr>
          <w:rFonts w:ascii="Times New Roman" w:hAnsi="Times New Roman"/>
          <w:sz w:val="24"/>
          <w:szCs w:val="24"/>
          <w:lang w:val="en-US"/>
        </w:rPr>
        <w:t>t</w:t>
      </w:r>
      <w:r>
        <w:rPr>
          <w:rFonts w:ascii="Times New Roman" w:hAnsi="Times New Roman"/>
          <w:sz w:val="24"/>
          <w:szCs w:val="24"/>
          <w:lang w:val="en-US"/>
        </w:rPr>
        <w:t>ional</w:t>
      </w:r>
      <w:r w:rsidRPr="006D215F">
        <w:rPr>
          <w:rFonts w:ascii="Times New Roman" w:hAnsi="Times New Roman"/>
          <w:sz w:val="24"/>
          <w:szCs w:val="24"/>
          <w:lang w:val="en-US"/>
        </w:rPr>
        <w:t>, in order to restrain any documentation of suspicion of money laundering and in particular the process of providing necessary information to the checked transactions.</w:t>
      </w:r>
    </w:p>
    <w:p w:rsidR="00F77C8D" w:rsidRPr="006D215F" w:rsidRDefault="00F77C8D" w:rsidP="00F77C8D">
      <w:pPr>
        <w:spacing w:before="100" w:beforeAutospacing="1" w:after="100" w:afterAutospacing="1" w:line="240" w:lineRule="auto"/>
        <w:ind w:firstLine="709"/>
        <w:jc w:val="both"/>
        <w:rPr>
          <w:rFonts w:ascii="Times New Roman" w:hAnsi="Times New Roman"/>
          <w:sz w:val="24"/>
          <w:szCs w:val="24"/>
          <w:lang w:val="en-US"/>
        </w:rPr>
      </w:pPr>
      <w:r w:rsidRPr="006D215F">
        <w:rPr>
          <w:rFonts w:ascii="Times New Roman" w:hAnsi="Times New Roman"/>
          <w:sz w:val="24"/>
          <w:szCs w:val="24"/>
          <w:lang w:val="en-US"/>
        </w:rPr>
        <w:lastRenderedPageBreak/>
        <w:t>FSJ has recorded a growing number of UTRs related to investment in real estate, which are paid with funds deposited to bank accounts in cash, without the known origin of th</w:t>
      </w:r>
      <w:r>
        <w:rPr>
          <w:rFonts w:ascii="Times New Roman" w:hAnsi="Times New Roman"/>
          <w:sz w:val="24"/>
          <w:szCs w:val="24"/>
          <w:lang w:val="en-US"/>
        </w:rPr>
        <w:t>is cash</w:t>
      </w:r>
      <w:r w:rsidRPr="006D215F">
        <w:rPr>
          <w:rFonts w:ascii="Times New Roman" w:hAnsi="Times New Roman"/>
          <w:sz w:val="24"/>
          <w:szCs w:val="24"/>
          <w:lang w:val="en-US"/>
        </w:rPr>
        <w:t>.</w:t>
      </w:r>
    </w:p>
    <w:p w:rsidR="00F77C8D" w:rsidRPr="006D215F" w:rsidRDefault="00F77C8D" w:rsidP="00F77C8D">
      <w:pPr>
        <w:spacing w:before="100" w:beforeAutospacing="1" w:after="100" w:afterAutospacing="1" w:line="240" w:lineRule="auto"/>
        <w:ind w:firstLine="709"/>
        <w:jc w:val="both"/>
        <w:rPr>
          <w:rFonts w:ascii="Times New Roman" w:hAnsi="Times New Roman"/>
          <w:sz w:val="24"/>
          <w:szCs w:val="24"/>
          <w:lang w:val="en-US"/>
        </w:rPr>
      </w:pPr>
      <w:r w:rsidRPr="006D215F">
        <w:rPr>
          <w:rFonts w:ascii="Times New Roman" w:hAnsi="Times New Roman"/>
          <w:sz w:val="24"/>
          <w:szCs w:val="24"/>
          <w:lang w:val="en-US"/>
        </w:rPr>
        <w:t xml:space="preserve">From the previous period persists the use of the box and shell companies in complex commercial transactions, in order </w:t>
      </w:r>
      <w:r>
        <w:rPr>
          <w:rFonts w:ascii="Times New Roman" w:hAnsi="Times New Roman"/>
          <w:sz w:val="24"/>
          <w:szCs w:val="24"/>
          <w:lang w:val="en-US"/>
        </w:rPr>
        <w:t xml:space="preserve">to obscure </w:t>
      </w:r>
      <w:r w:rsidRPr="006D215F">
        <w:rPr>
          <w:rFonts w:ascii="Times New Roman" w:hAnsi="Times New Roman"/>
          <w:sz w:val="24"/>
          <w:szCs w:val="24"/>
          <w:lang w:val="en-US"/>
        </w:rPr>
        <w:t xml:space="preserve">financial operations, movement of goods and services </w:t>
      </w:r>
      <w:r>
        <w:rPr>
          <w:rFonts w:ascii="Times New Roman" w:hAnsi="Times New Roman"/>
          <w:sz w:val="24"/>
          <w:szCs w:val="24"/>
          <w:lang w:val="en-US"/>
        </w:rPr>
        <w:t>involving</w:t>
      </w:r>
      <w:r w:rsidRPr="006D215F">
        <w:rPr>
          <w:rFonts w:ascii="Times New Roman" w:hAnsi="Times New Roman"/>
          <w:sz w:val="24"/>
          <w:szCs w:val="24"/>
          <w:lang w:val="en-US"/>
        </w:rPr>
        <w:t xml:space="preserve"> front men in the so-called carousel fraud, in order to claim VAT tax refunds.</w:t>
      </w:r>
    </w:p>
    <w:p w:rsidR="00F77C8D" w:rsidRPr="006D215F" w:rsidRDefault="00F77C8D" w:rsidP="00F77C8D">
      <w:pPr>
        <w:spacing w:before="100" w:beforeAutospacing="1" w:after="100" w:afterAutospacing="1" w:line="240" w:lineRule="auto"/>
        <w:ind w:firstLine="709"/>
        <w:jc w:val="both"/>
        <w:rPr>
          <w:rFonts w:ascii="Times New Roman" w:hAnsi="Times New Roman"/>
          <w:sz w:val="24"/>
          <w:szCs w:val="24"/>
          <w:lang w:val="en-US"/>
        </w:rPr>
      </w:pPr>
      <w:r w:rsidRPr="006D215F">
        <w:rPr>
          <w:rFonts w:ascii="Times New Roman" w:hAnsi="Times New Roman"/>
          <w:sz w:val="24"/>
          <w:szCs w:val="24"/>
          <w:lang w:val="en-US"/>
        </w:rPr>
        <w:t xml:space="preserve">There have been cases, in which the payments of </w:t>
      </w:r>
      <w:r>
        <w:rPr>
          <w:rFonts w:ascii="Times New Roman" w:hAnsi="Times New Roman"/>
          <w:sz w:val="24"/>
          <w:szCs w:val="24"/>
          <w:lang w:val="en-US"/>
        </w:rPr>
        <w:t>large sums</w:t>
      </w:r>
      <w:r w:rsidRPr="006D215F">
        <w:rPr>
          <w:rFonts w:ascii="Times New Roman" w:hAnsi="Times New Roman"/>
          <w:sz w:val="24"/>
          <w:szCs w:val="24"/>
          <w:lang w:val="en-US"/>
        </w:rPr>
        <w:t xml:space="preserve"> (millions of EUR) were fraudulently </w:t>
      </w:r>
      <w:r>
        <w:rPr>
          <w:rFonts w:ascii="Times New Roman" w:hAnsi="Times New Roman"/>
          <w:sz w:val="24"/>
          <w:szCs w:val="24"/>
          <w:lang w:val="en-US"/>
        </w:rPr>
        <w:t xml:space="preserve">diverted </w:t>
      </w:r>
      <w:r w:rsidRPr="006D215F">
        <w:rPr>
          <w:rFonts w:ascii="Times New Roman" w:hAnsi="Times New Roman"/>
          <w:sz w:val="24"/>
          <w:szCs w:val="24"/>
          <w:lang w:val="en-US"/>
        </w:rPr>
        <w:t>under the business relationship of selected targeted group</w:t>
      </w:r>
      <w:r>
        <w:rPr>
          <w:rFonts w:ascii="Times New Roman" w:hAnsi="Times New Roman"/>
          <w:sz w:val="24"/>
          <w:szCs w:val="24"/>
          <w:lang w:val="en-US"/>
        </w:rPr>
        <w:t>s</w:t>
      </w:r>
      <w:r w:rsidRPr="006D215F">
        <w:rPr>
          <w:rFonts w:ascii="Times New Roman" w:hAnsi="Times New Roman"/>
          <w:sz w:val="24"/>
          <w:szCs w:val="24"/>
          <w:lang w:val="en-US"/>
        </w:rPr>
        <w:t xml:space="preserve"> of people and transferred to </w:t>
      </w:r>
      <w:r>
        <w:rPr>
          <w:rFonts w:ascii="Times New Roman" w:hAnsi="Times New Roman"/>
          <w:sz w:val="24"/>
          <w:szCs w:val="24"/>
          <w:lang w:val="en-US"/>
        </w:rPr>
        <w:t>a</w:t>
      </w:r>
      <w:r w:rsidRPr="006D215F">
        <w:rPr>
          <w:rFonts w:ascii="Times New Roman" w:hAnsi="Times New Roman"/>
          <w:sz w:val="24"/>
          <w:szCs w:val="24"/>
          <w:lang w:val="en-US"/>
        </w:rPr>
        <w:t xml:space="preserve"> prepared account opened </w:t>
      </w:r>
      <w:r>
        <w:rPr>
          <w:rFonts w:ascii="Times New Roman" w:hAnsi="Times New Roman"/>
          <w:sz w:val="24"/>
          <w:szCs w:val="24"/>
          <w:lang w:val="en-US"/>
        </w:rPr>
        <w:t>in a</w:t>
      </w:r>
      <w:r w:rsidRPr="006D215F">
        <w:rPr>
          <w:rFonts w:ascii="Times New Roman" w:hAnsi="Times New Roman"/>
          <w:sz w:val="24"/>
          <w:szCs w:val="24"/>
          <w:lang w:val="en-US"/>
        </w:rPr>
        <w:t xml:space="preserve"> bank in a country other than the one in which the basic business relationship was realized, whereby the payer and</w:t>
      </w:r>
      <w:r>
        <w:rPr>
          <w:rFonts w:ascii="Times New Roman" w:hAnsi="Times New Roman"/>
          <w:sz w:val="24"/>
          <w:szCs w:val="24"/>
          <w:lang w:val="en-US"/>
        </w:rPr>
        <w:t xml:space="preserve"> the</w:t>
      </w:r>
      <w:r w:rsidRPr="006D215F">
        <w:rPr>
          <w:rFonts w:ascii="Times New Roman" w:hAnsi="Times New Roman"/>
          <w:sz w:val="24"/>
          <w:szCs w:val="24"/>
          <w:lang w:val="en-US"/>
        </w:rPr>
        <w:t xml:space="preserve"> participant of the business case was wrongly </w:t>
      </w:r>
      <w:r>
        <w:rPr>
          <w:rFonts w:ascii="Times New Roman" w:hAnsi="Times New Roman"/>
          <w:sz w:val="24"/>
          <w:szCs w:val="24"/>
          <w:lang w:val="en-US"/>
        </w:rPr>
        <w:t xml:space="preserve">but </w:t>
      </w:r>
      <w:r w:rsidRPr="006D215F">
        <w:rPr>
          <w:rFonts w:ascii="Times New Roman" w:hAnsi="Times New Roman"/>
          <w:sz w:val="24"/>
          <w:szCs w:val="24"/>
          <w:lang w:val="en-US"/>
        </w:rPr>
        <w:t>in</w:t>
      </w:r>
      <w:r>
        <w:rPr>
          <w:rFonts w:ascii="Times New Roman" w:hAnsi="Times New Roman"/>
          <w:sz w:val="24"/>
          <w:szCs w:val="24"/>
          <w:lang w:val="en-US"/>
        </w:rPr>
        <w:t xml:space="preserve"> a</w:t>
      </w:r>
      <w:r w:rsidRPr="006D215F">
        <w:rPr>
          <w:rFonts w:ascii="Times New Roman" w:hAnsi="Times New Roman"/>
          <w:sz w:val="24"/>
          <w:szCs w:val="24"/>
          <w:lang w:val="en-US"/>
        </w:rPr>
        <w:t xml:space="preserve"> sophisticated way informed on </w:t>
      </w:r>
      <w:r>
        <w:rPr>
          <w:rFonts w:ascii="Times New Roman" w:hAnsi="Times New Roman"/>
          <w:sz w:val="24"/>
          <w:szCs w:val="24"/>
          <w:lang w:val="en-US"/>
        </w:rPr>
        <w:t xml:space="preserve">the </w:t>
      </w:r>
      <w:r w:rsidRPr="006D215F">
        <w:rPr>
          <w:rFonts w:ascii="Times New Roman" w:hAnsi="Times New Roman"/>
          <w:sz w:val="24"/>
          <w:szCs w:val="24"/>
          <w:lang w:val="en-US"/>
        </w:rPr>
        <w:t>change of the payment account of his business partner. Immediately after the transferred payment to the prepared account subsequent wire transfers</w:t>
      </w:r>
      <w:r>
        <w:rPr>
          <w:rFonts w:ascii="Times New Roman" w:hAnsi="Times New Roman"/>
          <w:sz w:val="24"/>
          <w:szCs w:val="24"/>
          <w:lang w:val="en-US"/>
        </w:rPr>
        <w:t xml:space="preserve"> of funds were realized and funds were</w:t>
      </w:r>
      <w:r w:rsidRPr="006D215F">
        <w:rPr>
          <w:rFonts w:ascii="Times New Roman" w:hAnsi="Times New Roman"/>
          <w:sz w:val="24"/>
          <w:szCs w:val="24"/>
          <w:lang w:val="en-US"/>
        </w:rPr>
        <w:t xml:space="preserve"> finally transferred to bank acc</w:t>
      </w:r>
      <w:r>
        <w:rPr>
          <w:rFonts w:ascii="Times New Roman" w:hAnsi="Times New Roman"/>
          <w:sz w:val="24"/>
          <w:szCs w:val="24"/>
          <w:lang w:val="en-US"/>
        </w:rPr>
        <w:t xml:space="preserve">ounts held in banks located in </w:t>
      </w:r>
      <w:r w:rsidRPr="006D215F">
        <w:rPr>
          <w:rFonts w:ascii="Times New Roman" w:hAnsi="Times New Roman"/>
          <w:sz w:val="24"/>
          <w:szCs w:val="24"/>
          <w:lang w:val="en-US"/>
        </w:rPr>
        <w:t>known off-shore-areas such as Hong Kong and China. From the reported cases it was found out that the persons, who in such a sophisticated way performed the mentioned transactions, were citizens of Hungary or Romania and the country of aggrieved persons was in most cases France.</w:t>
      </w:r>
    </w:p>
    <w:p w:rsidR="00F77C8D" w:rsidRPr="006D215F" w:rsidRDefault="00F77C8D" w:rsidP="00F77C8D">
      <w:pPr>
        <w:spacing w:before="100" w:beforeAutospacing="1" w:after="100" w:afterAutospacing="1" w:line="240" w:lineRule="auto"/>
        <w:ind w:firstLine="709"/>
        <w:jc w:val="both"/>
        <w:rPr>
          <w:rFonts w:ascii="Times New Roman" w:hAnsi="Times New Roman"/>
          <w:sz w:val="24"/>
          <w:szCs w:val="24"/>
          <w:lang w:val="en-US"/>
        </w:rPr>
      </w:pPr>
      <w:r w:rsidRPr="006D215F">
        <w:rPr>
          <w:rFonts w:ascii="Times New Roman" w:hAnsi="Times New Roman"/>
          <w:sz w:val="24"/>
          <w:szCs w:val="24"/>
          <w:lang w:val="en-US"/>
        </w:rPr>
        <w:t>In one case, the FSJ</w:t>
      </w:r>
      <w:r>
        <w:rPr>
          <w:rFonts w:ascii="Times New Roman" w:hAnsi="Times New Roman"/>
          <w:sz w:val="24"/>
          <w:szCs w:val="24"/>
          <w:lang w:val="en-US"/>
        </w:rPr>
        <w:t xml:space="preserve"> </w:t>
      </w:r>
      <w:r w:rsidRPr="006D215F">
        <w:rPr>
          <w:rFonts w:ascii="Times New Roman" w:hAnsi="Times New Roman"/>
          <w:sz w:val="24"/>
          <w:szCs w:val="24"/>
          <w:lang w:val="en-US"/>
        </w:rPr>
        <w:t>in cooperation with LEAs</w:t>
      </w:r>
      <w:r>
        <w:rPr>
          <w:rFonts w:ascii="Times New Roman" w:hAnsi="Times New Roman"/>
          <w:sz w:val="24"/>
          <w:szCs w:val="24"/>
          <w:lang w:val="en-US"/>
        </w:rPr>
        <w:t xml:space="preserve"> managed</w:t>
      </w:r>
      <w:r w:rsidRPr="006D215F">
        <w:rPr>
          <w:rFonts w:ascii="Times New Roman" w:hAnsi="Times New Roman"/>
          <w:sz w:val="24"/>
          <w:szCs w:val="24"/>
          <w:lang w:val="en-US"/>
        </w:rPr>
        <w:t xml:space="preserve"> to </w:t>
      </w:r>
      <w:r>
        <w:rPr>
          <w:rFonts w:ascii="Times New Roman" w:hAnsi="Times New Roman"/>
          <w:sz w:val="24"/>
          <w:szCs w:val="24"/>
          <w:lang w:val="en-US"/>
        </w:rPr>
        <w:t>secure</w:t>
      </w:r>
      <w:r w:rsidRPr="006D215F">
        <w:rPr>
          <w:rFonts w:ascii="Times New Roman" w:hAnsi="Times New Roman"/>
          <w:sz w:val="24"/>
          <w:szCs w:val="24"/>
          <w:lang w:val="en-US"/>
        </w:rPr>
        <w:t xml:space="preserve"> the so transferred funds on „the ba</w:t>
      </w:r>
      <w:r w:rsidR="00561403">
        <w:rPr>
          <w:rFonts w:ascii="Times New Roman" w:hAnsi="Times New Roman"/>
          <w:sz w:val="24"/>
          <w:szCs w:val="24"/>
          <w:lang w:val="en-US"/>
        </w:rPr>
        <w:t xml:space="preserve">nk account prepared in advance“ </w:t>
      </w:r>
      <w:r w:rsidRPr="006D215F">
        <w:rPr>
          <w:rFonts w:ascii="Times New Roman" w:hAnsi="Times New Roman"/>
          <w:sz w:val="24"/>
          <w:szCs w:val="24"/>
          <w:lang w:val="en-US"/>
        </w:rPr>
        <w:t>and in the second case after the targeted postponement of funds by FSJ on „the bank account prepared in advance“ - the account holder returned the funds, what prevented the plac</w:t>
      </w:r>
      <w:r>
        <w:rPr>
          <w:rFonts w:ascii="Times New Roman" w:hAnsi="Times New Roman"/>
          <w:sz w:val="24"/>
          <w:szCs w:val="24"/>
          <w:lang w:val="en-US"/>
        </w:rPr>
        <w:t>ement</w:t>
      </w:r>
      <w:r w:rsidRPr="006D215F">
        <w:rPr>
          <w:rFonts w:ascii="Times New Roman" w:hAnsi="Times New Roman"/>
          <w:sz w:val="24"/>
          <w:szCs w:val="24"/>
          <w:lang w:val="en-US"/>
        </w:rPr>
        <w:t xml:space="preserve"> of income from criminal activity on other bank accounts held abroad and the funds in question were returned to the injured party.</w:t>
      </w:r>
    </w:p>
    <w:p w:rsidR="00F77C8D" w:rsidRPr="006D215F" w:rsidRDefault="00F77C8D" w:rsidP="00F77C8D">
      <w:pPr>
        <w:spacing w:before="100" w:beforeAutospacing="1" w:after="100" w:afterAutospacing="1" w:line="240" w:lineRule="auto"/>
        <w:ind w:firstLine="709"/>
        <w:jc w:val="both"/>
        <w:rPr>
          <w:rFonts w:ascii="Times New Roman" w:hAnsi="Times New Roman"/>
          <w:sz w:val="24"/>
          <w:szCs w:val="24"/>
          <w:lang w:val="en-US"/>
        </w:rPr>
      </w:pPr>
      <w:r w:rsidRPr="006D215F">
        <w:rPr>
          <w:rFonts w:ascii="Times New Roman" w:hAnsi="Times New Roman"/>
          <w:sz w:val="24"/>
          <w:szCs w:val="24"/>
          <w:lang w:val="en-US"/>
        </w:rPr>
        <w:t>From the aforementioned forms of appearance of possible legalization of proceeds of criminal activities it can be concluded that they were mostly related to commi</w:t>
      </w:r>
      <w:r>
        <w:rPr>
          <w:rFonts w:ascii="Times New Roman" w:hAnsi="Times New Roman"/>
          <w:sz w:val="24"/>
          <w:szCs w:val="24"/>
          <w:lang w:val="en-US"/>
        </w:rPr>
        <w:t>tment</w:t>
      </w:r>
      <w:r w:rsidRPr="006D215F">
        <w:rPr>
          <w:rFonts w:ascii="Times New Roman" w:hAnsi="Times New Roman"/>
          <w:sz w:val="24"/>
          <w:szCs w:val="24"/>
          <w:lang w:val="en-US"/>
        </w:rPr>
        <w:t xml:space="preserve"> of tax criminal offences and other crime with some signs of fraudulent action.</w:t>
      </w:r>
    </w:p>
    <w:p w:rsidR="00F77C8D" w:rsidRPr="006D215F" w:rsidRDefault="00F77C8D" w:rsidP="00F77C8D">
      <w:pPr>
        <w:spacing w:before="100" w:beforeAutospacing="1" w:after="0" w:line="240" w:lineRule="auto"/>
        <w:ind w:firstLine="709"/>
        <w:jc w:val="both"/>
        <w:rPr>
          <w:rFonts w:ascii="Times New Roman" w:hAnsi="Times New Roman"/>
          <w:sz w:val="24"/>
          <w:szCs w:val="24"/>
          <w:lang w:val="en-US"/>
        </w:rPr>
      </w:pPr>
      <w:r w:rsidRPr="006D215F">
        <w:rPr>
          <w:rFonts w:ascii="Times New Roman" w:hAnsi="Times New Roman"/>
          <w:sz w:val="24"/>
          <w:szCs w:val="24"/>
          <w:lang w:val="en-US"/>
        </w:rPr>
        <w:t xml:space="preserve">In the previous year 2013 the FSJ recorded a slight decrease in the number of UTRs related to phishing (50 fewer cases than in 2012) and internet fraud (23 fewer cases than in 2012). The most serious cases of internet fraud were committed by citizens of Romania, mostly living abroad, who have abused the trust of others. These cases of fraud were related to </w:t>
      </w:r>
      <w:r>
        <w:rPr>
          <w:rFonts w:ascii="Times New Roman" w:hAnsi="Times New Roman"/>
          <w:sz w:val="24"/>
          <w:szCs w:val="24"/>
          <w:lang w:val="en-US"/>
        </w:rPr>
        <w:t xml:space="preserve">the </w:t>
      </w:r>
      <w:r w:rsidRPr="006D215F">
        <w:rPr>
          <w:rFonts w:ascii="Times New Roman" w:hAnsi="Times New Roman"/>
          <w:sz w:val="24"/>
          <w:szCs w:val="24"/>
          <w:lang w:val="en-US"/>
        </w:rPr>
        <w:t xml:space="preserve">pretended sale of goods, especially cars and various industrial equipment. The pretended sale was bound to </w:t>
      </w:r>
      <w:r>
        <w:rPr>
          <w:rFonts w:ascii="Times New Roman" w:hAnsi="Times New Roman"/>
          <w:sz w:val="24"/>
          <w:szCs w:val="24"/>
          <w:lang w:val="en-US"/>
        </w:rPr>
        <w:t xml:space="preserve">the </w:t>
      </w:r>
      <w:r w:rsidRPr="006D215F">
        <w:rPr>
          <w:rFonts w:ascii="Times New Roman" w:hAnsi="Times New Roman"/>
          <w:sz w:val="24"/>
          <w:szCs w:val="24"/>
          <w:lang w:val="en-US"/>
        </w:rPr>
        <w:t>prepayment of a deposit or the full purchase price prior to an account held abroad, whereby there was no delivery of goods by the seller.</w:t>
      </w:r>
    </w:p>
    <w:p w:rsidR="00F77C8D" w:rsidRPr="006D215F" w:rsidRDefault="00F77C8D" w:rsidP="00F77C8D">
      <w:pPr>
        <w:spacing w:after="0"/>
        <w:jc w:val="both"/>
        <w:rPr>
          <w:rFonts w:ascii="Times New Roman" w:hAnsi="Times New Roman"/>
          <w:sz w:val="20"/>
          <w:szCs w:val="20"/>
          <w:lang w:val="en-US"/>
        </w:rPr>
      </w:pPr>
    </w:p>
    <w:p w:rsidR="00F77C8D" w:rsidRPr="006D215F" w:rsidRDefault="00F77C8D" w:rsidP="00F77C8D">
      <w:pPr>
        <w:spacing w:after="0"/>
        <w:jc w:val="both"/>
        <w:rPr>
          <w:rFonts w:ascii="Times New Roman" w:hAnsi="Times New Roman"/>
          <w:sz w:val="20"/>
          <w:szCs w:val="20"/>
          <w:lang w:val="en-US"/>
        </w:rPr>
      </w:pPr>
      <w:r w:rsidRPr="006D215F">
        <w:rPr>
          <w:rFonts w:ascii="Times New Roman" w:hAnsi="Times New Roman"/>
          <w:sz w:val="20"/>
          <w:szCs w:val="20"/>
          <w:lang w:val="en-US"/>
        </w:rPr>
        <w:t>Chart No. 5: Statistical summary on types of recorded UTRs in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2693"/>
        <w:gridCol w:w="2725"/>
      </w:tblGrid>
      <w:tr w:rsidR="00F77C8D" w:rsidRPr="006D215F" w:rsidTr="00052EC7">
        <w:trPr>
          <w:jc w:val="center"/>
        </w:trPr>
        <w:tc>
          <w:tcPr>
            <w:tcW w:w="3686"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b/>
                <w:sz w:val="20"/>
                <w:lang w:val="en-US"/>
              </w:rPr>
              <w:t>TYPE OF RECORDED  UTRs</w:t>
            </w:r>
          </w:p>
        </w:tc>
        <w:tc>
          <w:tcPr>
            <w:tcW w:w="2693" w:type="dxa"/>
          </w:tcPr>
          <w:p w:rsidR="00F77C8D" w:rsidRPr="006D215F" w:rsidRDefault="00F77C8D" w:rsidP="00F77C8D">
            <w:pPr>
              <w:spacing w:after="0"/>
              <w:jc w:val="center"/>
              <w:rPr>
                <w:rFonts w:ascii="Times New Roman" w:hAnsi="Times New Roman"/>
                <w:b/>
                <w:bCs/>
                <w:sz w:val="20"/>
                <w:szCs w:val="20"/>
                <w:lang w:val="en-US"/>
              </w:rPr>
            </w:pPr>
            <w:r w:rsidRPr="006D215F">
              <w:rPr>
                <w:rFonts w:ascii="Times New Roman" w:hAnsi="Times New Roman"/>
                <w:b/>
                <w:bCs/>
                <w:sz w:val="20"/>
                <w:szCs w:val="20"/>
                <w:lang w:val="en-US"/>
              </w:rPr>
              <w:t>NUMBER</w:t>
            </w:r>
          </w:p>
        </w:tc>
        <w:tc>
          <w:tcPr>
            <w:tcW w:w="2725"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b/>
                <w:bCs/>
                <w:sz w:val="20"/>
                <w:szCs w:val="20"/>
                <w:lang w:val="en-US"/>
              </w:rPr>
              <w:t>VALUE (EUR)</w:t>
            </w:r>
          </w:p>
        </w:tc>
      </w:tr>
      <w:tr w:rsidR="00F77C8D" w:rsidRPr="006D215F" w:rsidTr="00052EC7">
        <w:trPr>
          <w:jc w:val="center"/>
        </w:trPr>
        <w:tc>
          <w:tcPr>
            <w:tcW w:w="3686" w:type="dxa"/>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szCs w:val="24"/>
                <w:lang w:val="en-US"/>
              </w:rPr>
              <w:t>Wire transfers</w:t>
            </w:r>
          </w:p>
        </w:tc>
        <w:tc>
          <w:tcPr>
            <w:tcW w:w="2693"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2098</w:t>
            </w:r>
          </w:p>
        </w:tc>
        <w:tc>
          <w:tcPr>
            <w:tcW w:w="2725"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683.341.211</w:t>
            </w:r>
          </w:p>
        </w:tc>
      </w:tr>
      <w:tr w:rsidR="00F77C8D" w:rsidRPr="006D215F" w:rsidTr="00052EC7">
        <w:trPr>
          <w:jc w:val="center"/>
        </w:trPr>
        <w:tc>
          <w:tcPr>
            <w:tcW w:w="3686" w:type="dxa"/>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szCs w:val="24"/>
                <w:lang w:val="en-US"/>
              </w:rPr>
              <w:t>Cash transactions</w:t>
            </w:r>
          </w:p>
        </w:tc>
        <w:tc>
          <w:tcPr>
            <w:tcW w:w="2693"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2519</w:t>
            </w:r>
          </w:p>
        </w:tc>
        <w:tc>
          <w:tcPr>
            <w:tcW w:w="2725"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456.263.276</w:t>
            </w:r>
          </w:p>
        </w:tc>
      </w:tr>
      <w:tr w:rsidR="00F77C8D" w:rsidRPr="006D215F" w:rsidTr="00052EC7">
        <w:trPr>
          <w:jc w:val="center"/>
        </w:trPr>
        <w:tc>
          <w:tcPr>
            <w:tcW w:w="3686" w:type="dxa"/>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szCs w:val="24"/>
                <w:lang w:val="en-US"/>
              </w:rPr>
              <w:t>Foreign wire transfers</w:t>
            </w:r>
          </w:p>
        </w:tc>
        <w:tc>
          <w:tcPr>
            <w:tcW w:w="2693"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1239</w:t>
            </w:r>
          </w:p>
        </w:tc>
        <w:tc>
          <w:tcPr>
            <w:tcW w:w="2725"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620.340.601</w:t>
            </w:r>
          </w:p>
        </w:tc>
      </w:tr>
      <w:tr w:rsidR="00F77C8D" w:rsidRPr="006D215F" w:rsidTr="00052EC7">
        <w:trPr>
          <w:jc w:val="center"/>
        </w:trPr>
        <w:tc>
          <w:tcPr>
            <w:tcW w:w="3686" w:type="dxa"/>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szCs w:val="24"/>
                <w:lang w:val="en-US"/>
              </w:rPr>
              <w:t>Transactions realized by subjects registered in off-shore zone</w:t>
            </w:r>
          </w:p>
        </w:tc>
        <w:tc>
          <w:tcPr>
            <w:tcW w:w="2693" w:type="dxa"/>
            <w:vAlign w:val="center"/>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104</w:t>
            </w:r>
          </w:p>
        </w:tc>
        <w:tc>
          <w:tcPr>
            <w:tcW w:w="2725" w:type="dxa"/>
            <w:vAlign w:val="center"/>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78.110.717</w:t>
            </w:r>
          </w:p>
        </w:tc>
      </w:tr>
      <w:tr w:rsidR="00F77C8D" w:rsidRPr="006D215F" w:rsidTr="00052EC7">
        <w:trPr>
          <w:jc w:val="center"/>
        </w:trPr>
        <w:tc>
          <w:tcPr>
            <w:tcW w:w="3686" w:type="dxa"/>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szCs w:val="24"/>
                <w:lang w:val="en-US"/>
              </w:rPr>
              <w:t>Phishing, Pharming</w:t>
            </w:r>
          </w:p>
        </w:tc>
        <w:tc>
          <w:tcPr>
            <w:tcW w:w="2693"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90</w:t>
            </w:r>
          </w:p>
        </w:tc>
        <w:tc>
          <w:tcPr>
            <w:tcW w:w="2725"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10.825.162</w:t>
            </w:r>
          </w:p>
        </w:tc>
      </w:tr>
      <w:tr w:rsidR="00F77C8D" w:rsidRPr="006D215F" w:rsidTr="00052EC7">
        <w:trPr>
          <w:jc w:val="center"/>
        </w:trPr>
        <w:tc>
          <w:tcPr>
            <w:tcW w:w="3686" w:type="dxa"/>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szCs w:val="24"/>
                <w:lang w:val="en-US"/>
              </w:rPr>
              <w:t>Internet fraud</w:t>
            </w:r>
          </w:p>
        </w:tc>
        <w:tc>
          <w:tcPr>
            <w:tcW w:w="2693"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31</w:t>
            </w:r>
          </w:p>
        </w:tc>
        <w:tc>
          <w:tcPr>
            <w:tcW w:w="2725"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2.790.937</w:t>
            </w:r>
          </w:p>
        </w:tc>
      </w:tr>
      <w:tr w:rsidR="00F77C8D" w:rsidRPr="006D215F" w:rsidTr="00052EC7">
        <w:trPr>
          <w:jc w:val="center"/>
        </w:trPr>
        <w:tc>
          <w:tcPr>
            <w:tcW w:w="3686" w:type="dxa"/>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szCs w:val="24"/>
                <w:lang w:val="en-US"/>
              </w:rPr>
              <w:t>Hazard</w:t>
            </w:r>
          </w:p>
        </w:tc>
        <w:tc>
          <w:tcPr>
            <w:tcW w:w="2693"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11</w:t>
            </w:r>
          </w:p>
        </w:tc>
        <w:tc>
          <w:tcPr>
            <w:tcW w:w="2725"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1.255.705</w:t>
            </w:r>
          </w:p>
        </w:tc>
      </w:tr>
    </w:tbl>
    <w:p w:rsidR="00F77C8D" w:rsidRPr="00561403" w:rsidRDefault="00F77C8D" w:rsidP="00F77C8D">
      <w:pPr>
        <w:pStyle w:val="Nadpis2"/>
        <w:rPr>
          <w:rFonts w:ascii="Times New Roman" w:hAnsi="Times New Roman"/>
          <w:i/>
          <w:iCs/>
          <w:color w:val="auto"/>
          <w:sz w:val="24"/>
          <w:szCs w:val="24"/>
          <w:lang w:val="en-US"/>
        </w:rPr>
      </w:pPr>
      <w:bookmarkStart w:id="20" w:name="_Toc382129835"/>
      <w:bookmarkStart w:id="21" w:name="_Toc382129997"/>
      <w:bookmarkStart w:id="22" w:name="_Toc382130528"/>
      <w:bookmarkStart w:id="23" w:name="_Toc382141487"/>
      <w:bookmarkStart w:id="24" w:name="_Toc382141684"/>
      <w:r w:rsidRPr="00561403">
        <w:rPr>
          <w:rFonts w:ascii="Times New Roman" w:hAnsi="Times New Roman"/>
          <w:color w:val="auto"/>
          <w:sz w:val="24"/>
          <w:szCs w:val="24"/>
          <w:lang w:val="en-US"/>
        </w:rPr>
        <w:lastRenderedPageBreak/>
        <w:t>2.3 Efficiency of UTRs</w:t>
      </w:r>
      <w:bookmarkEnd w:id="20"/>
      <w:bookmarkEnd w:id="21"/>
      <w:bookmarkEnd w:id="22"/>
      <w:bookmarkEnd w:id="23"/>
      <w:bookmarkEnd w:id="24"/>
    </w:p>
    <w:p w:rsidR="00F77C8D" w:rsidRPr="006D215F" w:rsidRDefault="00F77C8D" w:rsidP="00F77C8D">
      <w:pPr>
        <w:spacing w:after="0"/>
        <w:jc w:val="both"/>
        <w:rPr>
          <w:rFonts w:ascii="Times New Roman" w:hAnsi="Times New Roman"/>
          <w:sz w:val="24"/>
          <w:szCs w:val="24"/>
          <w:lang w:val="en-US"/>
        </w:rPr>
      </w:pPr>
    </w:p>
    <w:p w:rsidR="00F77C8D" w:rsidRPr="006D215F" w:rsidRDefault="00F77C8D" w:rsidP="00F77C8D">
      <w:pPr>
        <w:spacing w:after="100" w:afterAutospacing="1" w:line="240" w:lineRule="auto"/>
        <w:ind w:firstLineChars="295" w:firstLine="708"/>
        <w:jc w:val="both"/>
        <w:rPr>
          <w:rFonts w:ascii="Times New Roman" w:hAnsi="Times New Roman"/>
          <w:sz w:val="24"/>
          <w:szCs w:val="24"/>
          <w:lang w:val="en-US"/>
        </w:rPr>
      </w:pPr>
      <w:r w:rsidRPr="006D215F">
        <w:rPr>
          <w:rFonts w:ascii="Times New Roman" w:hAnsi="Times New Roman"/>
          <w:sz w:val="24"/>
          <w:szCs w:val="24"/>
          <w:lang w:val="en-US"/>
        </w:rPr>
        <w:t>FSJ keeps detailed statistics on the number of received UTRs,</w:t>
      </w:r>
      <w:r>
        <w:rPr>
          <w:rFonts w:ascii="Times New Roman" w:hAnsi="Times New Roman"/>
          <w:sz w:val="24"/>
          <w:szCs w:val="24"/>
          <w:lang w:val="en-US"/>
        </w:rPr>
        <w:t xml:space="preserve"> on the</w:t>
      </w:r>
      <w:r w:rsidRPr="006D215F">
        <w:rPr>
          <w:rFonts w:ascii="Times New Roman" w:hAnsi="Times New Roman"/>
          <w:sz w:val="24"/>
          <w:szCs w:val="24"/>
          <w:lang w:val="en-US"/>
        </w:rPr>
        <w:t xml:space="preserve"> method of their processing, on the number of UTRs submitted to the competent LEAs or to the tax administrator for a calendar year, on the number of criminally prosecuted persons as well as on the number of persons lawfully convicted of money laundering. FSJ also collects data on the value of secured property, seized or forfeited assets.</w:t>
      </w:r>
    </w:p>
    <w:p w:rsidR="00F77C8D" w:rsidRPr="006D215F" w:rsidRDefault="00F77C8D" w:rsidP="00F77C8D">
      <w:pPr>
        <w:spacing w:before="100" w:beforeAutospacing="1" w:after="100" w:afterAutospacing="1" w:line="240" w:lineRule="auto"/>
        <w:ind w:firstLineChars="295" w:firstLine="708"/>
        <w:jc w:val="both"/>
        <w:rPr>
          <w:rFonts w:ascii="Times New Roman" w:hAnsi="Times New Roman"/>
          <w:sz w:val="24"/>
          <w:szCs w:val="24"/>
          <w:lang w:val="en-US"/>
        </w:rPr>
      </w:pPr>
      <w:r w:rsidRPr="006D215F">
        <w:rPr>
          <w:rFonts w:ascii="Times New Roman" w:hAnsi="Times New Roman"/>
          <w:sz w:val="24"/>
          <w:szCs w:val="24"/>
          <w:lang w:val="en-US"/>
        </w:rPr>
        <w:t xml:space="preserve">After rigorous analysis, taking into account the responsibilities of the various actors and relevance of information </w:t>
      </w:r>
      <w:r>
        <w:rPr>
          <w:rFonts w:ascii="Times New Roman" w:hAnsi="Times New Roman"/>
          <w:sz w:val="24"/>
          <w:szCs w:val="24"/>
          <w:lang w:val="en-US"/>
        </w:rPr>
        <w:t xml:space="preserve">received from </w:t>
      </w:r>
      <w:r w:rsidRPr="006D215F">
        <w:rPr>
          <w:rFonts w:ascii="Times New Roman" w:hAnsi="Times New Roman"/>
          <w:sz w:val="24"/>
          <w:szCs w:val="24"/>
          <w:lang w:val="en-US"/>
        </w:rPr>
        <w:t>obliged entities, out of the total number of the received UTRs in 2013 FSJ submitted relevant information to the following competent authorities, units or partners:</w:t>
      </w:r>
    </w:p>
    <w:tbl>
      <w:tblPr>
        <w:tblW w:w="0" w:type="auto"/>
        <w:tblLook w:val="04A0" w:firstRow="1" w:lastRow="0" w:firstColumn="1" w:lastColumn="0" w:noHBand="0" w:noVBand="1"/>
      </w:tblPr>
      <w:tblGrid>
        <w:gridCol w:w="4605"/>
        <w:gridCol w:w="4605"/>
      </w:tblGrid>
      <w:tr w:rsidR="00F77C8D" w:rsidRPr="006D215F" w:rsidTr="00F77C8D">
        <w:tc>
          <w:tcPr>
            <w:tcW w:w="4605" w:type="dxa"/>
          </w:tcPr>
          <w:p w:rsidR="00F77C8D" w:rsidRPr="006D215F" w:rsidRDefault="00F77C8D" w:rsidP="00F77C8D">
            <w:pPr>
              <w:tabs>
                <w:tab w:val="num" w:pos="1134"/>
              </w:tabs>
              <w:spacing w:before="100" w:beforeAutospacing="1" w:after="100" w:afterAutospacing="1" w:line="240" w:lineRule="auto"/>
              <w:jc w:val="both"/>
              <w:rPr>
                <w:rFonts w:ascii="Times New Roman" w:hAnsi="Times New Roman"/>
                <w:sz w:val="24"/>
                <w:szCs w:val="24"/>
                <w:lang w:val="en-US"/>
              </w:rPr>
            </w:pPr>
          </w:p>
        </w:tc>
        <w:tc>
          <w:tcPr>
            <w:tcW w:w="4605" w:type="dxa"/>
          </w:tcPr>
          <w:p w:rsidR="00F77C8D" w:rsidRPr="006D215F" w:rsidRDefault="00F77C8D" w:rsidP="00F77C8D">
            <w:pPr>
              <w:tabs>
                <w:tab w:val="num" w:pos="1134"/>
              </w:tabs>
              <w:spacing w:before="100" w:beforeAutospacing="1" w:after="100" w:afterAutospacing="1" w:line="240" w:lineRule="auto"/>
              <w:jc w:val="center"/>
              <w:rPr>
                <w:rFonts w:ascii="Times New Roman" w:hAnsi="Times New Roman"/>
                <w:sz w:val="24"/>
                <w:szCs w:val="24"/>
                <w:lang w:val="en-US"/>
              </w:rPr>
            </w:pPr>
            <w:r w:rsidRPr="006D215F">
              <w:rPr>
                <w:rFonts w:ascii="Times New Roman" w:hAnsi="Times New Roman"/>
                <w:sz w:val="24"/>
                <w:szCs w:val="24"/>
                <w:lang w:val="en-US"/>
              </w:rPr>
              <w:t>Number of information</w:t>
            </w:r>
          </w:p>
        </w:tc>
      </w:tr>
      <w:tr w:rsidR="00F77C8D" w:rsidRPr="006D215F" w:rsidTr="00F77C8D">
        <w:trPr>
          <w:trHeight w:val="315"/>
        </w:trPr>
        <w:tc>
          <w:tcPr>
            <w:tcW w:w="4605" w:type="dxa"/>
          </w:tcPr>
          <w:p w:rsidR="00F77C8D" w:rsidRPr="006D215F" w:rsidRDefault="00F77C8D" w:rsidP="00F77C8D">
            <w:pPr>
              <w:numPr>
                <w:ilvl w:val="0"/>
                <w:numId w:val="2"/>
              </w:numPr>
              <w:spacing w:after="0" w:line="240" w:lineRule="auto"/>
              <w:rPr>
                <w:rFonts w:ascii="Times New Roman" w:hAnsi="Times New Roman"/>
                <w:sz w:val="24"/>
                <w:szCs w:val="24"/>
                <w:lang w:val="en-US"/>
              </w:rPr>
            </w:pPr>
            <w:r w:rsidRPr="006D215F">
              <w:rPr>
                <w:rFonts w:ascii="Times New Roman" w:hAnsi="Times New Roman"/>
                <w:sz w:val="24"/>
                <w:szCs w:val="24"/>
                <w:lang w:val="en-US"/>
              </w:rPr>
              <w:t>to competent LEAs</w:t>
            </w:r>
          </w:p>
        </w:tc>
        <w:tc>
          <w:tcPr>
            <w:tcW w:w="4605" w:type="dxa"/>
          </w:tcPr>
          <w:p w:rsidR="00F77C8D" w:rsidRPr="006D215F" w:rsidRDefault="00F77C8D" w:rsidP="00CC13ED">
            <w:pPr>
              <w:tabs>
                <w:tab w:val="num" w:pos="1134"/>
              </w:tabs>
              <w:spacing w:before="100" w:beforeAutospacing="1" w:after="100" w:afterAutospacing="1" w:line="240" w:lineRule="auto"/>
              <w:jc w:val="center"/>
              <w:rPr>
                <w:rFonts w:ascii="Times New Roman" w:hAnsi="Times New Roman"/>
                <w:sz w:val="24"/>
                <w:szCs w:val="24"/>
                <w:lang w:val="en-US"/>
              </w:rPr>
            </w:pPr>
            <w:r w:rsidRPr="006D215F">
              <w:rPr>
                <w:rFonts w:ascii="Times New Roman" w:hAnsi="Times New Roman"/>
                <w:sz w:val="24"/>
                <w:szCs w:val="24"/>
                <w:lang w:val="en-US"/>
              </w:rPr>
              <w:t>266</w:t>
            </w:r>
          </w:p>
        </w:tc>
      </w:tr>
      <w:tr w:rsidR="00F77C8D" w:rsidRPr="006D215F" w:rsidTr="00F77C8D">
        <w:tc>
          <w:tcPr>
            <w:tcW w:w="4605" w:type="dxa"/>
          </w:tcPr>
          <w:p w:rsidR="00F77C8D" w:rsidRPr="006D215F" w:rsidRDefault="00F77C8D" w:rsidP="00F77C8D">
            <w:pPr>
              <w:numPr>
                <w:ilvl w:val="0"/>
                <w:numId w:val="2"/>
              </w:numPr>
              <w:spacing w:after="0" w:line="240" w:lineRule="auto"/>
              <w:rPr>
                <w:rFonts w:ascii="Times New Roman" w:hAnsi="Times New Roman"/>
                <w:sz w:val="24"/>
                <w:szCs w:val="24"/>
                <w:lang w:val="en-US"/>
              </w:rPr>
            </w:pPr>
            <w:r w:rsidRPr="006D215F">
              <w:rPr>
                <w:rFonts w:ascii="Times New Roman" w:hAnsi="Times New Roman"/>
                <w:sz w:val="24"/>
                <w:szCs w:val="24"/>
                <w:lang w:val="en-US"/>
              </w:rPr>
              <w:t xml:space="preserve">to competent departments </w:t>
            </w:r>
            <w:r w:rsidR="00CC13ED">
              <w:rPr>
                <w:rFonts w:ascii="Times New Roman" w:hAnsi="Times New Roman"/>
                <w:sz w:val="24"/>
                <w:szCs w:val="24"/>
                <w:lang w:val="en-US"/>
              </w:rPr>
              <w:t xml:space="preserve">/ units of </w:t>
            </w:r>
            <w:r w:rsidRPr="006D215F">
              <w:rPr>
                <w:rFonts w:ascii="Times New Roman" w:hAnsi="Times New Roman"/>
                <w:sz w:val="24"/>
                <w:szCs w:val="24"/>
                <w:lang w:val="en-US"/>
              </w:rPr>
              <w:t>the National Criminal Agency</w:t>
            </w:r>
          </w:p>
        </w:tc>
        <w:tc>
          <w:tcPr>
            <w:tcW w:w="4605" w:type="dxa"/>
          </w:tcPr>
          <w:p w:rsidR="00F77C8D" w:rsidRPr="006D215F" w:rsidRDefault="00F77C8D" w:rsidP="00F77C8D">
            <w:pPr>
              <w:tabs>
                <w:tab w:val="num" w:pos="1134"/>
              </w:tabs>
              <w:spacing w:before="100" w:beforeAutospacing="1" w:after="100" w:afterAutospacing="1" w:line="240" w:lineRule="auto"/>
              <w:jc w:val="center"/>
              <w:rPr>
                <w:rFonts w:ascii="Times New Roman" w:hAnsi="Times New Roman"/>
                <w:sz w:val="24"/>
                <w:szCs w:val="24"/>
                <w:lang w:val="en-US"/>
              </w:rPr>
            </w:pPr>
            <w:r w:rsidRPr="006D215F">
              <w:rPr>
                <w:rFonts w:ascii="Times New Roman" w:hAnsi="Times New Roman"/>
                <w:sz w:val="24"/>
                <w:szCs w:val="24"/>
                <w:lang w:val="en-US"/>
              </w:rPr>
              <w:t>540</w:t>
            </w:r>
          </w:p>
        </w:tc>
      </w:tr>
      <w:tr w:rsidR="00F77C8D" w:rsidRPr="006D215F" w:rsidTr="00F77C8D">
        <w:tc>
          <w:tcPr>
            <w:tcW w:w="4605" w:type="dxa"/>
          </w:tcPr>
          <w:p w:rsidR="00F77C8D" w:rsidRPr="006D215F" w:rsidRDefault="00F77C8D" w:rsidP="00F77C8D">
            <w:pPr>
              <w:numPr>
                <w:ilvl w:val="0"/>
                <w:numId w:val="2"/>
              </w:numPr>
              <w:spacing w:after="0" w:line="240" w:lineRule="auto"/>
              <w:rPr>
                <w:rFonts w:ascii="Times New Roman" w:hAnsi="Times New Roman"/>
                <w:sz w:val="24"/>
                <w:szCs w:val="24"/>
                <w:lang w:val="en-US"/>
              </w:rPr>
            </w:pPr>
            <w:r w:rsidRPr="006D215F">
              <w:rPr>
                <w:rFonts w:ascii="Times New Roman" w:hAnsi="Times New Roman"/>
                <w:sz w:val="24"/>
                <w:szCs w:val="24"/>
                <w:lang w:val="en-US"/>
              </w:rPr>
              <w:t>to Financial Directorate of the Slovak Republic</w:t>
            </w:r>
          </w:p>
        </w:tc>
        <w:tc>
          <w:tcPr>
            <w:tcW w:w="4605" w:type="dxa"/>
          </w:tcPr>
          <w:p w:rsidR="00F77C8D" w:rsidRPr="006D215F" w:rsidRDefault="00F77C8D" w:rsidP="00F77C8D">
            <w:pPr>
              <w:tabs>
                <w:tab w:val="num" w:pos="1134"/>
              </w:tabs>
              <w:spacing w:before="100" w:beforeAutospacing="1" w:after="100" w:afterAutospacing="1" w:line="240" w:lineRule="auto"/>
              <w:jc w:val="center"/>
              <w:rPr>
                <w:rFonts w:ascii="Times New Roman" w:hAnsi="Times New Roman"/>
                <w:sz w:val="24"/>
                <w:szCs w:val="24"/>
                <w:lang w:val="en-US"/>
              </w:rPr>
            </w:pPr>
            <w:r w:rsidRPr="006D215F">
              <w:rPr>
                <w:rFonts w:ascii="Times New Roman" w:hAnsi="Times New Roman"/>
                <w:sz w:val="24"/>
                <w:szCs w:val="24"/>
                <w:lang w:val="en-US"/>
              </w:rPr>
              <w:t>1636</w:t>
            </w:r>
          </w:p>
        </w:tc>
      </w:tr>
      <w:tr w:rsidR="00F77C8D" w:rsidRPr="006D215F" w:rsidTr="00F77C8D">
        <w:tc>
          <w:tcPr>
            <w:tcW w:w="4605" w:type="dxa"/>
          </w:tcPr>
          <w:p w:rsidR="00F77C8D" w:rsidRPr="006D215F" w:rsidRDefault="00F77C8D" w:rsidP="00F77C8D">
            <w:pPr>
              <w:numPr>
                <w:ilvl w:val="0"/>
                <w:numId w:val="2"/>
              </w:numPr>
              <w:spacing w:after="0" w:line="240" w:lineRule="auto"/>
              <w:rPr>
                <w:rFonts w:ascii="Times New Roman" w:hAnsi="Times New Roman"/>
                <w:sz w:val="24"/>
                <w:szCs w:val="24"/>
                <w:lang w:val="en-US"/>
              </w:rPr>
            </w:pPr>
            <w:r w:rsidRPr="006D215F">
              <w:rPr>
                <w:rFonts w:ascii="Times New Roman" w:hAnsi="Times New Roman"/>
                <w:sz w:val="24"/>
                <w:szCs w:val="24"/>
                <w:lang w:val="en-US"/>
              </w:rPr>
              <w:t>to Obliged Entities´ Control Department of FSJ Slovakia</w:t>
            </w:r>
          </w:p>
        </w:tc>
        <w:tc>
          <w:tcPr>
            <w:tcW w:w="4605" w:type="dxa"/>
          </w:tcPr>
          <w:p w:rsidR="00F77C8D" w:rsidRPr="006D215F" w:rsidRDefault="00F77C8D" w:rsidP="00F77C8D">
            <w:pPr>
              <w:tabs>
                <w:tab w:val="num" w:pos="1134"/>
              </w:tabs>
              <w:spacing w:before="100" w:beforeAutospacing="1" w:after="100" w:afterAutospacing="1" w:line="240" w:lineRule="auto"/>
              <w:jc w:val="center"/>
              <w:rPr>
                <w:rFonts w:ascii="Times New Roman" w:hAnsi="Times New Roman"/>
                <w:sz w:val="24"/>
                <w:szCs w:val="24"/>
                <w:lang w:val="en-US"/>
              </w:rPr>
            </w:pPr>
            <w:r w:rsidRPr="006D215F">
              <w:rPr>
                <w:rFonts w:ascii="Times New Roman" w:hAnsi="Times New Roman"/>
                <w:sz w:val="24"/>
                <w:szCs w:val="24"/>
                <w:lang w:val="en-US"/>
              </w:rPr>
              <w:t>3</w:t>
            </w:r>
          </w:p>
        </w:tc>
      </w:tr>
      <w:tr w:rsidR="00F77C8D" w:rsidRPr="006D215F" w:rsidTr="00F77C8D">
        <w:tc>
          <w:tcPr>
            <w:tcW w:w="4605" w:type="dxa"/>
          </w:tcPr>
          <w:p w:rsidR="00F77C8D" w:rsidRPr="006D215F" w:rsidRDefault="00F77C8D" w:rsidP="00F77C8D">
            <w:pPr>
              <w:numPr>
                <w:ilvl w:val="0"/>
                <w:numId w:val="2"/>
              </w:numPr>
              <w:spacing w:after="0" w:line="240" w:lineRule="auto"/>
              <w:rPr>
                <w:rFonts w:ascii="Times New Roman" w:hAnsi="Times New Roman"/>
                <w:sz w:val="24"/>
                <w:szCs w:val="24"/>
                <w:lang w:val="en-US"/>
              </w:rPr>
            </w:pPr>
            <w:r w:rsidRPr="006D215F">
              <w:rPr>
                <w:rFonts w:ascii="Times New Roman" w:hAnsi="Times New Roman"/>
                <w:sz w:val="24"/>
                <w:szCs w:val="24"/>
                <w:lang w:val="en-US"/>
              </w:rPr>
              <w:t>to relevant foreign FIUs</w:t>
            </w:r>
          </w:p>
        </w:tc>
        <w:tc>
          <w:tcPr>
            <w:tcW w:w="4605" w:type="dxa"/>
          </w:tcPr>
          <w:p w:rsidR="00F77C8D" w:rsidRPr="006D215F" w:rsidRDefault="00F77C8D" w:rsidP="00F77C8D">
            <w:pPr>
              <w:tabs>
                <w:tab w:val="num" w:pos="1134"/>
              </w:tabs>
              <w:spacing w:before="100" w:beforeAutospacing="1" w:after="100" w:afterAutospacing="1" w:line="240" w:lineRule="auto"/>
              <w:jc w:val="center"/>
              <w:rPr>
                <w:rFonts w:ascii="Times New Roman" w:hAnsi="Times New Roman"/>
                <w:sz w:val="24"/>
                <w:szCs w:val="24"/>
                <w:lang w:val="en-US"/>
              </w:rPr>
            </w:pPr>
            <w:r w:rsidRPr="006D215F">
              <w:rPr>
                <w:rFonts w:ascii="Times New Roman" w:hAnsi="Times New Roman"/>
                <w:sz w:val="24"/>
                <w:szCs w:val="24"/>
                <w:lang w:val="en-US"/>
              </w:rPr>
              <w:t>297</w:t>
            </w:r>
          </w:p>
        </w:tc>
      </w:tr>
      <w:tr w:rsidR="00F77C8D" w:rsidRPr="006D215F" w:rsidTr="00F77C8D">
        <w:tc>
          <w:tcPr>
            <w:tcW w:w="4605" w:type="dxa"/>
          </w:tcPr>
          <w:p w:rsidR="00F77C8D" w:rsidRPr="006D215F" w:rsidRDefault="00F77C8D" w:rsidP="00F77C8D">
            <w:pPr>
              <w:numPr>
                <w:ilvl w:val="0"/>
                <w:numId w:val="2"/>
              </w:numPr>
              <w:spacing w:after="0" w:line="240" w:lineRule="auto"/>
              <w:rPr>
                <w:rFonts w:ascii="Times New Roman" w:hAnsi="Times New Roman"/>
                <w:sz w:val="24"/>
                <w:szCs w:val="24"/>
                <w:lang w:val="en-US"/>
              </w:rPr>
            </w:pPr>
            <w:r w:rsidRPr="006D215F">
              <w:rPr>
                <w:rFonts w:ascii="Times New Roman" w:hAnsi="Times New Roman"/>
                <w:sz w:val="24"/>
                <w:szCs w:val="24"/>
                <w:lang w:val="en-US"/>
              </w:rPr>
              <w:t xml:space="preserve">to Department for Combating Terrorism </w:t>
            </w:r>
          </w:p>
        </w:tc>
        <w:tc>
          <w:tcPr>
            <w:tcW w:w="4605" w:type="dxa"/>
          </w:tcPr>
          <w:p w:rsidR="00F77C8D" w:rsidRPr="006D215F" w:rsidRDefault="00E7610D" w:rsidP="00F77C8D">
            <w:pPr>
              <w:tabs>
                <w:tab w:val="num" w:pos="1134"/>
              </w:tabs>
              <w:spacing w:before="100" w:beforeAutospacing="1" w:after="100" w:afterAutospacing="1" w:line="240" w:lineRule="auto"/>
              <w:jc w:val="center"/>
              <w:rPr>
                <w:rFonts w:ascii="Times New Roman" w:hAnsi="Times New Roman"/>
                <w:sz w:val="24"/>
                <w:szCs w:val="24"/>
                <w:lang w:val="en-US"/>
              </w:rPr>
            </w:pPr>
            <w:r>
              <w:rPr>
                <w:rFonts w:ascii="Times New Roman" w:hAnsi="Times New Roman"/>
                <w:sz w:val="24"/>
                <w:szCs w:val="24"/>
                <w:lang w:val="en-US"/>
              </w:rPr>
              <w:t>80</w:t>
            </w:r>
          </w:p>
        </w:tc>
      </w:tr>
      <w:tr w:rsidR="00F77C8D" w:rsidRPr="006D215F" w:rsidTr="00F77C8D">
        <w:tc>
          <w:tcPr>
            <w:tcW w:w="4605" w:type="dxa"/>
          </w:tcPr>
          <w:p w:rsidR="00F77C8D" w:rsidRPr="006D215F" w:rsidRDefault="00F77C8D" w:rsidP="00F77C8D">
            <w:pPr>
              <w:numPr>
                <w:ilvl w:val="0"/>
                <w:numId w:val="2"/>
              </w:numPr>
              <w:spacing w:after="0" w:line="240" w:lineRule="auto"/>
              <w:rPr>
                <w:rFonts w:ascii="Times New Roman" w:hAnsi="Times New Roman"/>
                <w:sz w:val="24"/>
                <w:szCs w:val="24"/>
                <w:lang w:val="en-US"/>
              </w:rPr>
            </w:pPr>
            <w:r w:rsidRPr="006D215F">
              <w:rPr>
                <w:rFonts w:ascii="Times New Roman" w:hAnsi="Times New Roman"/>
                <w:sz w:val="24"/>
                <w:szCs w:val="24"/>
                <w:lang w:val="en-US"/>
              </w:rPr>
              <w:t>to Regional and District Headquarters of Police Force</w:t>
            </w:r>
          </w:p>
        </w:tc>
        <w:tc>
          <w:tcPr>
            <w:tcW w:w="4605" w:type="dxa"/>
          </w:tcPr>
          <w:p w:rsidR="00F77C8D" w:rsidRPr="006D215F" w:rsidRDefault="00F77C8D" w:rsidP="00F77C8D">
            <w:pPr>
              <w:tabs>
                <w:tab w:val="num" w:pos="1134"/>
              </w:tabs>
              <w:spacing w:before="100" w:beforeAutospacing="1" w:after="100" w:afterAutospacing="1" w:line="240" w:lineRule="auto"/>
              <w:jc w:val="center"/>
              <w:rPr>
                <w:rFonts w:ascii="Times New Roman" w:hAnsi="Times New Roman"/>
                <w:sz w:val="24"/>
                <w:szCs w:val="24"/>
                <w:lang w:val="en-US"/>
              </w:rPr>
            </w:pPr>
            <w:r w:rsidRPr="006D215F">
              <w:rPr>
                <w:rFonts w:ascii="Times New Roman" w:hAnsi="Times New Roman"/>
                <w:sz w:val="24"/>
                <w:szCs w:val="24"/>
                <w:lang w:val="en-US"/>
              </w:rPr>
              <w:t>321</w:t>
            </w:r>
          </w:p>
        </w:tc>
      </w:tr>
      <w:tr w:rsidR="00F77C8D" w:rsidRPr="006D215F" w:rsidTr="00F77C8D">
        <w:tc>
          <w:tcPr>
            <w:tcW w:w="4605" w:type="dxa"/>
          </w:tcPr>
          <w:p w:rsidR="00F77C8D" w:rsidRPr="006D215F" w:rsidRDefault="00F77C8D" w:rsidP="00F77C8D">
            <w:pPr>
              <w:numPr>
                <w:ilvl w:val="0"/>
                <w:numId w:val="2"/>
              </w:numPr>
              <w:spacing w:after="0" w:line="240" w:lineRule="auto"/>
              <w:rPr>
                <w:rFonts w:ascii="Times New Roman" w:hAnsi="Times New Roman"/>
                <w:sz w:val="24"/>
                <w:szCs w:val="24"/>
                <w:lang w:val="en-US"/>
              </w:rPr>
            </w:pPr>
            <w:r w:rsidRPr="006D215F">
              <w:rPr>
                <w:rFonts w:ascii="Times New Roman" w:hAnsi="Times New Roman"/>
                <w:sz w:val="24"/>
                <w:szCs w:val="24"/>
                <w:lang w:val="en-US"/>
              </w:rPr>
              <w:t>to electronic database of FSJ Slovakia for its possible further use</w:t>
            </w:r>
          </w:p>
        </w:tc>
        <w:tc>
          <w:tcPr>
            <w:tcW w:w="4605" w:type="dxa"/>
          </w:tcPr>
          <w:p w:rsidR="00F77C8D" w:rsidRPr="006D215F" w:rsidRDefault="00F77C8D" w:rsidP="00F77C8D">
            <w:pPr>
              <w:tabs>
                <w:tab w:val="num" w:pos="1134"/>
              </w:tabs>
              <w:spacing w:before="100" w:beforeAutospacing="1" w:after="100" w:afterAutospacing="1" w:line="240" w:lineRule="auto"/>
              <w:jc w:val="center"/>
              <w:rPr>
                <w:rFonts w:ascii="Times New Roman" w:hAnsi="Times New Roman"/>
                <w:sz w:val="24"/>
                <w:szCs w:val="24"/>
                <w:lang w:val="en-US"/>
              </w:rPr>
            </w:pPr>
            <w:r w:rsidRPr="006D215F">
              <w:rPr>
                <w:rFonts w:ascii="Times New Roman" w:hAnsi="Times New Roman"/>
                <w:sz w:val="24"/>
                <w:szCs w:val="24"/>
                <w:lang w:val="en-US"/>
              </w:rPr>
              <w:t>1483</w:t>
            </w:r>
          </w:p>
        </w:tc>
      </w:tr>
    </w:tbl>
    <w:p w:rsidR="00F77C8D" w:rsidRPr="006D215F" w:rsidRDefault="00F77C8D" w:rsidP="00F77C8D">
      <w:pPr>
        <w:pStyle w:val="Odsekzoznamu"/>
        <w:spacing w:after="0"/>
        <w:ind w:left="0"/>
        <w:jc w:val="both"/>
        <w:rPr>
          <w:rFonts w:ascii="Times New Roman" w:hAnsi="Times New Roman" w:cs="Times New Roman"/>
          <w:sz w:val="24"/>
          <w:szCs w:val="24"/>
          <w:lang w:val="en-US"/>
        </w:rPr>
      </w:pPr>
    </w:p>
    <w:p w:rsidR="00F77C8D" w:rsidRPr="006D215F" w:rsidRDefault="00F77C8D" w:rsidP="00F77C8D">
      <w:pPr>
        <w:pStyle w:val="Odsekzoznamu"/>
        <w:spacing w:after="0"/>
        <w:ind w:left="0" w:firstLine="708"/>
        <w:jc w:val="both"/>
        <w:rPr>
          <w:rFonts w:ascii="Times New Roman" w:hAnsi="Times New Roman" w:cs="Times New Roman"/>
          <w:sz w:val="24"/>
          <w:szCs w:val="24"/>
          <w:lang w:val="en-US"/>
        </w:rPr>
      </w:pPr>
      <w:r w:rsidRPr="006D215F">
        <w:rPr>
          <w:rFonts w:ascii="Times New Roman" w:hAnsi="Times New Roman" w:cs="Times New Roman"/>
          <w:sz w:val="24"/>
          <w:szCs w:val="24"/>
          <w:lang w:val="en-US"/>
        </w:rPr>
        <w:t>The following chart provides a comprehensive overview of the procedures and decision-making activities of police officers as well as of information submitted within the purview of the Criminal Procedure Code.</w:t>
      </w:r>
    </w:p>
    <w:p w:rsidR="00F77C8D" w:rsidRPr="006D215F" w:rsidRDefault="00F77C8D" w:rsidP="00F77C8D">
      <w:pPr>
        <w:pStyle w:val="Odsekzoznamu"/>
        <w:spacing w:after="0"/>
        <w:ind w:left="0"/>
        <w:jc w:val="both"/>
        <w:rPr>
          <w:rFonts w:ascii="Times New Roman" w:hAnsi="Times New Roman" w:cs="Times New Roman"/>
          <w:sz w:val="24"/>
          <w:szCs w:val="24"/>
          <w:lang w:val="en-US"/>
        </w:rPr>
      </w:pPr>
    </w:p>
    <w:p w:rsidR="00F77C8D" w:rsidRPr="006D215F" w:rsidRDefault="00F77C8D" w:rsidP="00F77C8D">
      <w:pPr>
        <w:spacing w:after="0"/>
        <w:ind w:left="208"/>
        <w:jc w:val="both"/>
        <w:rPr>
          <w:rFonts w:ascii="Times New Roman" w:hAnsi="Times New Roman"/>
          <w:sz w:val="20"/>
          <w:szCs w:val="20"/>
          <w:lang w:val="en-US"/>
        </w:rPr>
      </w:pPr>
      <w:r w:rsidRPr="006D215F">
        <w:rPr>
          <w:rFonts w:ascii="Times New Roman" w:hAnsi="Times New Roman"/>
          <w:sz w:val="20"/>
          <w:szCs w:val="20"/>
          <w:lang w:val="en-US"/>
        </w:rPr>
        <w:t>Chart No. 6: Further steps of LEAs after the information was submitted pursuant to Section 26 (2) (b) of AML/CTF Act in 2013</w:t>
      </w:r>
    </w:p>
    <w:p w:rsidR="00F77C8D" w:rsidRPr="006D215F" w:rsidRDefault="00F77C8D" w:rsidP="00F77C8D">
      <w:pPr>
        <w:spacing w:after="0"/>
        <w:jc w:val="both"/>
        <w:rPr>
          <w:rFonts w:ascii="Times New Roman" w:hAnsi="Times New Roman"/>
          <w:sz w:val="24"/>
          <w:szCs w:val="24"/>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3"/>
        <w:gridCol w:w="2441"/>
      </w:tblGrid>
      <w:tr w:rsidR="00F77C8D" w:rsidRPr="006D215F" w:rsidTr="00F77C8D">
        <w:tc>
          <w:tcPr>
            <w:tcW w:w="6663"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b/>
                <w:bCs/>
                <w:sz w:val="20"/>
                <w:szCs w:val="20"/>
                <w:lang w:val="en-US"/>
              </w:rPr>
              <w:t xml:space="preserve">Procedures / further steps of LEAs </w:t>
            </w:r>
          </w:p>
        </w:tc>
        <w:tc>
          <w:tcPr>
            <w:tcW w:w="2441"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b/>
                <w:bCs/>
                <w:sz w:val="20"/>
                <w:szCs w:val="20"/>
                <w:lang w:val="en-US"/>
              </w:rPr>
              <w:t xml:space="preserve">NUMBER </w:t>
            </w:r>
          </w:p>
        </w:tc>
      </w:tr>
      <w:tr w:rsidR="00F77C8D" w:rsidRPr="006D215F" w:rsidTr="00F77C8D">
        <w:tc>
          <w:tcPr>
            <w:tcW w:w="6663" w:type="dxa"/>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lang w:val="en-US"/>
              </w:rPr>
              <w:t>Commencement of criminal proceeding, Section 199 of Code of Criminal Procedure</w:t>
            </w:r>
          </w:p>
        </w:tc>
        <w:tc>
          <w:tcPr>
            <w:tcW w:w="2441"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26</w:t>
            </w:r>
          </w:p>
        </w:tc>
      </w:tr>
      <w:tr w:rsidR="00F77C8D" w:rsidRPr="006D215F" w:rsidTr="00F77C8D">
        <w:tc>
          <w:tcPr>
            <w:tcW w:w="6663" w:type="dxa"/>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lang w:val="en-US"/>
              </w:rPr>
              <w:t>Commencement of criminal proceeding for Legalization of the Proceeds of Crime pursuant to Section 233, Section 234 of Criminal Code</w:t>
            </w:r>
          </w:p>
        </w:tc>
        <w:tc>
          <w:tcPr>
            <w:tcW w:w="2441"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6</w:t>
            </w:r>
          </w:p>
        </w:tc>
      </w:tr>
      <w:tr w:rsidR="00F77C8D" w:rsidRPr="006D215F" w:rsidTr="00F77C8D">
        <w:tc>
          <w:tcPr>
            <w:tcW w:w="6663" w:type="dxa"/>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lang w:val="en-US"/>
              </w:rPr>
              <w:t>Commencement of criminal proceeding for different crime</w:t>
            </w:r>
          </w:p>
        </w:tc>
        <w:tc>
          <w:tcPr>
            <w:tcW w:w="2441"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22</w:t>
            </w:r>
          </w:p>
        </w:tc>
      </w:tr>
      <w:tr w:rsidR="00F77C8D" w:rsidRPr="006D215F" w:rsidTr="00F77C8D">
        <w:tc>
          <w:tcPr>
            <w:tcW w:w="6663" w:type="dxa"/>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lang w:val="en-US"/>
              </w:rPr>
              <w:t>Indictments pursuant to Section 206 of Code of Criminal Procedure</w:t>
            </w:r>
          </w:p>
        </w:tc>
        <w:tc>
          <w:tcPr>
            <w:tcW w:w="2441"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1</w:t>
            </w:r>
          </w:p>
        </w:tc>
      </w:tr>
      <w:tr w:rsidR="00F77C8D" w:rsidRPr="006D215F" w:rsidTr="00F77C8D">
        <w:tc>
          <w:tcPr>
            <w:tcW w:w="6663" w:type="dxa"/>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lang w:val="en-US"/>
              </w:rPr>
              <w:t xml:space="preserve">Indictments for </w:t>
            </w:r>
            <w:r w:rsidR="00CC13ED" w:rsidRPr="006D215F">
              <w:rPr>
                <w:rFonts w:ascii="Times New Roman" w:hAnsi="Times New Roman"/>
                <w:sz w:val="24"/>
                <w:lang w:val="en-US"/>
              </w:rPr>
              <w:t>Legalization</w:t>
            </w:r>
            <w:r w:rsidRPr="006D215F">
              <w:rPr>
                <w:rFonts w:ascii="Times New Roman" w:hAnsi="Times New Roman"/>
                <w:sz w:val="24"/>
                <w:lang w:val="en-US"/>
              </w:rPr>
              <w:t xml:space="preserve"> of the Proceeds of Crime pursuant to Section 233, Section 234 of Criminal Code</w:t>
            </w:r>
          </w:p>
        </w:tc>
        <w:tc>
          <w:tcPr>
            <w:tcW w:w="2441"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0</w:t>
            </w:r>
          </w:p>
        </w:tc>
      </w:tr>
      <w:tr w:rsidR="00F77C8D" w:rsidRPr="006D215F" w:rsidTr="00F77C8D">
        <w:trPr>
          <w:trHeight w:val="443"/>
        </w:trPr>
        <w:tc>
          <w:tcPr>
            <w:tcW w:w="6663" w:type="dxa"/>
            <w:vMerge w:val="restart"/>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szCs w:val="24"/>
                <w:lang w:val="en-US"/>
              </w:rPr>
              <w:lastRenderedPageBreak/>
              <w:t>Indictments for Credit Fraud pursuant to Section 221 of Criminal Code</w:t>
            </w:r>
          </w:p>
        </w:tc>
        <w:tc>
          <w:tcPr>
            <w:tcW w:w="2441"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2</w:t>
            </w:r>
          </w:p>
        </w:tc>
      </w:tr>
      <w:tr w:rsidR="00F77C8D" w:rsidRPr="006D215F" w:rsidTr="00F77C8D">
        <w:trPr>
          <w:trHeight w:val="442"/>
        </w:trPr>
        <w:tc>
          <w:tcPr>
            <w:tcW w:w="6663" w:type="dxa"/>
            <w:vMerge/>
          </w:tcPr>
          <w:p w:rsidR="00F77C8D" w:rsidRPr="006D215F" w:rsidRDefault="00F77C8D" w:rsidP="00F77C8D">
            <w:pPr>
              <w:spacing w:after="0"/>
              <w:jc w:val="both"/>
              <w:rPr>
                <w:rFonts w:ascii="Times New Roman" w:hAnsi="Times New Roman"/>
                <w:sz w:val="24"/>
                <w:szCs w:val="24"/>
                <w:lang w:val="en-US"/>
              </w:rPr>
            </w:pPr>
          </w:p>
        </w:tc>
        <w:tc>
          <w:tcPr>
            <w:tcW w:w="2441" w:type="dxa"/>
          </w:tcPr>
          <w:p w:rsidR="00F77C8D" w:rsidRPr="006D215F" w:rsidRDefault="00F77C8D" w:rsidP="00F77C8D">
            <w:pPr>
              <w:spacing w:after="0"/>
              <w:jc w:val="center"/>
              <w:rPr>
                <w:rFonts w:ascii="Times New Roman" w:hAnsi="Times New Roman"/>
                <w:sz w:val="16"/>
                <w:szCs w:val="16"/>
                <w:lang w:val="en-US"/>
              </w:rPr>
            </w:pPr>
            <w:r w:rsidRPr="006D215F">
              <w:rPr>
                <w:rFonts w:ascii="Times New Roman" w:hAnsi="Times New Roman"/>
                <w:sz w:val="16"/>
                <w:szCs w:val="16"/>
                <w:lang w:val="en-US"/>
              </w:rPr>
              <w:t>Case reference number: ORP-425/3-VYS-TT-2013</w:t>
            </w:r>
          </w:p>
          <w:p w:rsidR="00F77C8D" w:rsidRPr="006D215F" w:rsidRDefault="00F77C8D" w:rsidP="00F77C8D">
            <w:pPr>
              <w:spacing w:after="0"/>
              <w:jc w:val="center"/>
              <w:rPr>
                <w:rFonts w:ascii="Times New Roman" w:hAnsi="Times New Roman"/>
                <w:sz w:val="16"/>
                <w:szCs w:val="16"/>
                <w:lang w:val="en-US"/>
              </w:rPr>
            </w:pPr>
            <w:r w:rsidRPr="006D215F">
              <w:rPr>
                <w:rFonts w:ascii="Times New Roman" w:hAnsi="Times New Roman"/>
                <w:sz w:val="16"/>
                <w:szCs w:val="16"/>
                <w:lang w:val="en-US"/>
              </w:rPr>
              <w:t>accusation against 1 person</w:t>
            </w:r>
          </w:p>
        </w:tc>
      </w:tr>
      <w:tr w:rsidR="00F77C8D" w:rsidRPr="006D215F" w:rsidTr="00F77C8D">
        <w:trPr>
          <w:trHeight w:val="442"/>
        </w:trPr>
        <w:tc>
          <w:tcPr>
            <w:tcW w:w="6663" w:type="dxa"/>
            <w:vMerge/>
          </w:tcPr>
          <w:p w:rsidR="00F77C8D" w:rsidRPr="006D215F" w:rsidRDefault="00F77C8D" w:rsidP="00F77C8D">
            <w:pPr>
              <w:spacing w:after="0"/>
              <w:jc w:val="both"/>
              <w:rPr>
                <w:rFonts w:ascii="Times New Roman" w:hAnsi="Times New Roman"/>
                <w:sz w:val="24"/>
                <w:szCs w:val="24"/>
                <w:lang w:val="en-US"/>
              </w:rPr>
            </w:pPr>
          </w:p>
        </w:tc>
        <w:tc>
          <w:tcPr>
            <w:tcW w:w="2441" w:type="dxa"/>
          </w:tcPr>
          <w:p w:rsidR="00F77C8D" w:rsidRPr="006D215F" w:rsidRDefault="00F77C8D" w:rsidP="00F77C8D">
            <w:pPr>
              <w:spacing w:after="0"/>
              <w:jc w:val="center"/>
              <w:rPr>
                <w:rFonts w:ascii="Times New Roman" w:hAnsi="Times New Roman"/>
                <w:sz w:val="16"/>
                <w:szCs w:val="16"/>
                <w:lang w:val="en-US"/>
              </w:rPr>
            </w:pPr>
            <w:r w:rsidRPr="006D215F">
              <w:rPr>
                <w:rFonts w:ascii="Times New Roman" w:hAnsi="Times New Roman"/>
                <w:sz w:val="16"/>
                <w:szCs w:val="16"/>
                <w:lang w:val="en-US"/>
              </w:rPr>
              <w:t>Case reference number: ORP-756/OEK-PO-2013</w:t>
            </w:r>
          </w:p>
          <w:p w:rsidR="00F77C8D" w:rsidRPr="006D215F" w:rsidRDefault="00F77C8D" w:rsidP="00F77C8D">
            <w:pPr>
              <w:spacing w:after="0"/>
              <w:jc w:val="center"/>
              <w:rPr>
                <w:rFonts w:ascii="Times New Roman" w:hAnsi="Times New Roman"/>
                <w:sz w:val="16"/>
                <w:szCs w:val="16"/>
                <w:lang w:val="en-US"/>
              </w:rPr>
            </w:pPr>
            <w:r w:rsidRPr="006D215F">
              <w:rPr>
                <w:rFonts w:ascii="Times New Roman" w:hAnsi="Times New Roman"/>
                <w:sz w:val="16"/>
                <w:szCs w:val="16"/>
                <w:lang w:val="en-US"/>
              </w:rPr>
              <w:t>accusation against 2 persons</w:t>
            </w:r>
          </w:p>
        </w:tc>
      </w:tr>
      <w:tr w:rsidR="00F77C8D" w:rsidRPr="006D215F" w:rsidTr="00F77C8D">
        <w:tc>
          <w:tcPr>
            <w:tcW w:w="6663" w:type="dxa"/>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lang w:val="en-US"/>
              </w:rPr>
              <w:t>Dismiss of commencement of criminal proceeding pursuant to Section 197 (1) (d) of Code of Criminal Procedure</w:t>
            </w:r>
          </w:p>
        </w:tc>
        <w:tc>
          <w:tcPr>
            <w:tcW w:w="2441"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8</w:t>
            </w:r>
          </w:p>
        </w:tc>
      </w:tr>
      <w:tr w:rsidR="00F77C8D" w:rsidRPr="006D215F" w:rsidTr="00F77C8D">
        <w:tc>
          <w:tcPr>
            <w:tcW w:w="6663" w:type="dxa"/>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lang w:val="en-US"/>
              </w:rPr>
              <w:t>Seizure of the funds pursuant to Section 95 of Code of Criminal Procedure</w:t>
            </w:r>
          </w:p>
        </w:tc>
        <w:tc>
          <w:tcPr>
            <w:tcW w:w="2441"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7</w:t>
            </w:r>
          </w:p>
        </w:tc>
      </w:tr>
      <w:tr w:rsidR="00F77C8D" w:rsidRPr="006D215F" w:rsidTr="00F77C8D">
        <w:tc>
          <w:tcPr>
            <w:tcW w:w="6663" w:type="dxa"/>
          </w:tcPr>
          <w:p w:rsidR="00F77C8D" w:rsidRPr="006D215F" w:rsidRDefault="00F77C8D" w:rsidP="00F77C8D">
            <w:pPr>
              <w:spacing w:after="0"/>
              <w:jc w:val="both"/>
              <w:rPr>
                <w:rFonts w:ascii="Times New Roman" w:hAnsi="Times New Roman"/>
                <w:sz w:val="24"/>
                <w:szCs w:val="24"/>
                <w:lang w:val="en-US"/>
              </w:rPr>
            </w:pPr>
            <w:r w:rsidRPr="006D215F">
              <w:rPr>
                <w:rFonts w:ascii="Times New Roman" w:hAnsi="Times New Roman"/>
                <w:sz w:val="24"/>
                <w:lang w:val="en-US"/>
              </w:rPr>
              <w:t>Total amount of the seized funds</w:t>
            </w:r>
          </w:p>
        </w:tc>
        <w:tc>
          <w:tcPr>
            <w:tcW w:w="2441" w:type="dxa"/>
          </w:tcPr>
          <w:p w:rsidR="00F77C8D" w:rsidRPr="006D215F" w:rsidRDefault="00F77C8D" w:rsidP="00F77C8D">
            <w:pPr>
              <w:spacing w:after="0"/>
              <w:jc w:val="center"/>
              <w:rPr>
                <w:rFonts w:ascii="Times New Roman" w:hAnsi="Times New Roman"/>
                <w:sz w:val="24"/>
                <w:szCs w:val="24"/>
                <w:lang w:val="en-US"/>
              </w:rPr>
            </w:pPr>
            <w:r w:rsidRPr="006D215F">
              <w:rPr>
                <w:rFonts w:ascii="Times New Roman" w:hAnsi="Times New Roman"/>
                <w:sz w:val="24"/>
                <w:szCs w:val="24"/>
                <w:lang w:val="en-US"/>
              </w:rPr>
              <w:t>5.691.638,- EUR</w:t>
            </w:r>
          </w:p>
        </w:tc>
      </w:tr>
    </w:tbl>
    <w:p w:rsidR="00F77C8D" w:rsidRPr="006D215F" w:rsidRDefault="00F77C8D" w:rsidP="00F77C8D">
      <w:pPr>
        <w:spacing w:after="0"/>
        <w:jc w:val="both"/>
        <w:rPr>
          <w:rFonts w:ascii="Times New Roman" w:hAnsi="Times New Roman"/>
          <w:sz w:val="24"/>
          <w:szCs w:val="24"/>
          <w:lang w:val="en-US"/>
        </w:rPr>
      </w:pPr>
    </w:p>
    <w:p w:rsidR="00F77C8D" w:rsidRPr="006D215F" w:rsidRDefault="00F77C8D" w:rsidP="00F77C8D">
      <w:pPr>
        <w:spacing w:before="100" w:beforeAutospacing="1" w:after="100" w:afterAutospacing="1" w:line="240" w:lineRule="auto"/>
        <w:ind w:firstLine="709"/>
        <w:jc w:val="both"/>
        <w:rPr>
          <w:rFonts w:ascii="Times New Roman" w:hAnsi="Times New Roman"/>
          <w:sz w:val="24"/>
          <w:szCs w:val="24"/>
          <w:lang w:val="en-US"/>
        </w:rPr>
      </w:pPr>
      <w:r w:rsidRPr="006D215F">
        <w:rPr>
          <w:rFonts w:ascii="Times New Roman" w:hAnsi="Times New Roman"/>
          <w:sz w:val="24"/>
          <w:szCs w:val="24"/>
          <w:lang w:val="en-US"/>
        </w:rPr>
        <w:t>In order to remove the deficiency constituted in the absence of a coherent and unified statistical output for all the public authorities related to the number of cases of legalization of proceeds of criminal activity and terrorist financing committed by the identified, subsequently criminally prosecuted, indicted and convicted persons, wh</w:t>
      </w:r>
      <w:r>
        <w:rPr>
          <w:rFonts w:ascii="Times New Roman" w:hAnsi="Times New Roman"/>
          <w:sz w:val="24"/>
          <w:szCs w:val="24"/>
          <w:lang w:val="en-US"/>
        </w:rPr>
        <w:t>ich</w:t>
      </w:r>
      <w:r w:rsidRPr="006D215F">
        <w:rPr>
          <w:rFonts w:ascii="Times New Roman" w:hAnsi="Times New Roman"/>
          <w:sz w:val="24"/>
          <w:szCs w:val="24"/>
          <w:lang w:val="en-US"/>
        </w:rPr>
        <w:t xml:space="preserve"> was criticized by the Committee of the Council of Europe MONEYVAL in the Report of the 4th assessment visit of the Slovak Republic, the FSJ processed</w:t>
      </w:r>
      <w:r>
        <w:rPr>
          <w:rFonts w:ascii="Times New Roman" w:hAnsi="Times New Roman"/>
          <w:sz w:val="24"/>
          <w:szCs w:val="24"/>
          <w:lang w:val="en-US"/>
        </w:rPr>
        <w:t xml:space="preserve"> the statistics</w:t>
      </w:r>
      <w:r w:rsidRPr="006D215F">
        <w:rPr>
          <w:rFonts w:ascii="Times New Roman" w:hAnsi="Times New Roman"/>
          <w:sz w:val="24"/>
          <w:szCs w:val="24"/>
          <w:lang w:val="en-US"/>
        </w:rPr>
        <w:t xml:space="preserve"> into a coherent output (see the chart No. 8) provided by services of Police Force, Criminal Authority of the Financial Administration of the Slovak Republic, the General Prosecutor's Office of the Slovak Republic and by the Ministry of Justice of the Slovak Republic regarding the number of clarified cases of legalization of proceeds of criminal activity and the number of persons criminally prosecuted, charged and then finally sentenced for these criminal offences in 2013. </w:t>
      </w:r>
      <w:r>
        <w:rPr>
          <w:rFonts w:ascii="Times New Roman" w:hAnsi="Times New Roman"/>
          <w:sz w:val="24"/>
          <w:szCs w:val="24"/>
          <w:lang w:val="en-US"/>
        </w:rPr>
        <w:t>Depending on the nature of the statistics provided by</w:t>
      </w:r>
      <w:r w:rsidRPr="006D215F">
        <w:rPr>
          <w:rFonts w:ascii="Times New Roman" w:hAnsi="Times New Roman"/>
          <w:sz w:val="24"/>
          <w:szCs w:val="24"/>
          <w:lang w:val="en-US"/>
        </w:rPr>
        <w:t xml:space="preserve"> the Prosecutor General's Office of the Slovak Republic and the Ministry of Justice of the Slovak Republic it </w:t>
      </w:r>
      <w:r>
        <w:rPr>
          <w:rFonts w:ascii="Times New Roman" w:hAnsi="Times New Roman"/>
          <w:sz w:val="24"/>
          <w:szCs w:val="24"/>
          <w:lang w:val="en-US"/>
        </w:rPr>
        <w:t>will be essential</w:t>
      </w:r>
      <w:r w:rsidRPr="006D215F">
        <w:rPr>
          <w:rFonts w:ascii="Times New Roman" w:hAnsi="Times New Roman"/>
          <w:sz w:val="24"/>
          <w:szCs w:val="24"/>
          <w:lang w:val="en-US"/>
        </w:rPr>
        <w:t xml:space="preserve"> to synchronize these outcomes with the statistical data collected by the other police departments and in the next period to record and keep also the number of the individual realized cases.</w:t>
      </w:r>
    </w:p>
    <w:p w:rsidR="00F77C8D" w:rsidRPr="006D215F" w:rsidRDefault="00F77C8D" w:rsidP="00F77C8D">
      <w:pPr>
        <w:spacing w:before="100" w:beforeAutospacing="1" w:after="100" w:afterAutospacing="1" w:line="240" w:lineRule="auto"/>
        <w:ind w:firstLine="709"/>
        <w:jc w:val="both"/>
        <w:rPr>
          <w:rFonts w:ascii="Times New Roman" w:hAnsi="Times New Roman"/>
          <w:sz w:val="24"/>
          <w:szCs w:val="24"/>
          <w:lang w:val="en-US"/>
        </w:rPr>
      </w:pPr>
      <w:r w:rsidRPr="006D215F">
        <w:rPr>
          <w:rFonts w:ascii="Times New Roman" w:hAnsi="Times New Roman"/>
          <w:sz w:val="24"/>
          <w:szCs w:val="24"/>
          <w:lang w:val="en-US"/>
        </w:rPr>
        <w:t>From a statistical overview recording the punishment of the crime of legalization of proceeds of criminal activity it is clear, that compared to 2012</w:t>
      </w:r>
      <w:r>
        <w:rPr>
          <w:rFonts w:ascii="Times New Roman" w:hAnsi="Times New Roman"/>
          <w:sz w:val="24"/>
          <w:szCs w:val="24"/>
          <w:lang w:val="en-US"/>
        </w:rPr>
        <w:t>,</w:t>
      </w:r>
      <w:r w:rsidRPr="006D215F">
        <w:rPr>
          <w:rFonts w:ascii="Times New Roman" w:hAnsi="Times New Roman"/>
          <w:sz w:val="24"/>
          <w:szCs w:val="24"/>
          <w:lang w:val="en-US"/>
        </w:rPr>
        <w:t xml:space="preserve"> in 2013</w:t>
      </w:r>
      <w:r>
        <w:rPr>
          <w:rFonts w:ascii="Times New Roman" w:hAnsi="Times New Roman"/>
          <w:sz w:val="24"/>
          <w:szCs w:val="24"/>
          <w:lang w:val="en-US"/>
        </w:rPr>
        <w:t xml:space="preserve"> occurred</w:t>
      </w:r>
      <w:r w:rsidRPr="006D215F">
        <w:rPr>
          <w:rFonts w:ascii="Times New Roman" w:hAnsi="Times New Roman"/>
          <w:sz w:val="24"/>
          <w:szCs w:val="24"/>
          <w:lang w:val="en-US"/>
        </w:rPr>
        <w:t xml:space="preserve"> a decrease in the number of suggestions for criminal prosecution by criminal police officers of 18</w:t>
      </w:r>
      <w:r>
        <w:rPr>
          <w:rFonts w:ascii="Times New Roman" w:hAnsi="Times New Roman"/>
          <w:sz w:val="24"/>
          <w:szCs w:val="24"/>
          <w:lang w:val="en-US"/>
        </w:rPr>
        <w:t xml:space="preserve"> cases</w:t>
      </w:r>
      <w:r w:rsidRPr="006D215F">
        <w:rPr>
          <w:rFonts w:ascii="Times New Roman" w:hAnsi="Times New Roman"/>
          <w:sz w:val="24"/>
          <w:szCs w:val="24"/>
          <w:lang w:val="en-US"/>
        </w:rPr>
        <w:t xml:space="preserve"> and the number of decisions to initiate criminal prosecution of 36 cases. In other indicators monitored, an increase</w:t>
      </w:r>
      <w:r>
        <w:rPr>
          <w:rFonts w:ascii="Times New Roman" w:hAnsi="Times New Roman"/>
          <w:sz w:val="24"/>
          <w:szCs w:val="24"/>
          <w:lang w:val="en-US"/>
        </w:rPr>
        <w:t xml:space="preserve"> was recorded</w:t>
      </w:r>
      <w:r w:rsidRPr="006D215F">
        <w:rPr>
          <w:rFonts w:ascii="Times New Roman" w:hAnsi="Times New Roman"/>
          <w:sz w:val="24"/>
          <w:szCs w:val="24"/>
          <w:lang w:val="en-US"/>
        </w:rPr>
        <w:t xml:space="preserve"> compared to 2012. There was an increase in the number of accused persons (of 20 persons) and persons with whom the prosecutor has concluded an agreement on guilt and punishment (of 2 persons). For the criminal offence of legalization of proceeds of criminal activity under Section 233 of the Criminal Code in 2013 were finally sentenced 12 persons (one person more than it did in the previous year). There was not a single case of terrorist financing identified in 2013.</w:t>
      </w:r>
    </w:p>
    <w:p w:rsidR="00F77C8D" w:rsidRPr="006D215F" w:rsidRDefault="00F77C8D" w:rsidP="00F77C8D">
      <w:pPr>
        <w:spacing w:before="100" w:beforeAutospacing="1" w:after="100" w:afterAutospacing="1" w:line="240" w:lineRule="auto"/>
        <w:ind w:firstLine="709"/>
        <w:jc w:val="both"/>
        <w:rPr>
          <w:rFonts w:ascii="Times New Roman" w:hAnsi="Times New Roman"/>
          <w:sz w:val="24"/>
          <w:szCs w:val="24"/>
          <w:lang w:val="en-US"/>
        </w:rPr>
      </w:pPr>
      <w:r w:rsidRPr="006D215F">
        <w:rPr>
          <w:rFonts w:ascii="Times New Roman" w:hAnsi="Times New Roman"/>
          <w:sz w:val="24"/>
          <w:szCs w:val="24"/>
          <w:lang w:val="en-US"/>
        </w:rPr>
        <w:t xml:space="preserve">For an overview of the scope of application of selected securing institutes of the Code of Criminal Procedure in criminal proceedings in 2013 for all the criminal offences and separately for the criminal offences of legalization of proceeds of criminal activity a statistical summary </w:t>
      </w:r>
      <w:r>
        <w:rPr>
          <w:rFonts w:ascii="Times New Roman" w:hAnsi="Times New Roman"/>
          <w:sz w:val="24"/>
          <w:szCs w:val="24"/>
          <w:lang w:val="en-US"/>
        </w:rPr>
        <w:t xml:space="preserve">was elaborated </w:t>
      </w:r>
      <w:r w:rsidRPr="006D215F">
        <w:rPr>
          <w:rFonts w:ascii="Times New Roman" w:hAnsi="Times New Roman"/>
          <w:sz w:val="24"/>
          <w:szCs w:val="24"/>
          <w:lang w:val="en-US"/>
        </w:rPr>
        <w:t>in the chart No. 7. The statistical indicators provided by all the above mentioned entities served as a basis for the creati</w:t>
      </w:r>
      <w:r>
        <w:rPr>
          <w:rFonts w:ascii="Times New Roman" w:hAnsi="Times New Roman"/>
          <w:sz w:val="24"/>
          <w:szCs w:val="24"/>
          <w:lang w:val="en-US"/>
        </w:rPr>
        <w:t>on</w:t>
      </w:r>
      <w:r w:rsidRPr="006D215F">
        <w:rPr>
          <w:rFonts w:ascii="Times New Roman" w:hAnsi="Times New Roman"/>
          <w:sz w:val="24"/>
          <w:szCs w:val="24"/>
          <w:lang w:val="en-US"/>
        </w:rPr>
        <w:t xml:space="preserve"> of this chart.</w:t>
      </w:r>
    </w:p>
    <w:p w:rsidR="00F77C8D" w:rsidRPr="006D215F" w:rsidRDefault="00F77C8D" w:rsidP="00F77C8D">
      <w:pPr>
        <w:spacing w:before="100" w:beforeAutospacing="1" w:after="100" w:afterAutospacing="1" w:line="240" w:lineRule="auto"/>
        <w:ind w:firstLine="709"/>
        <w:jc w:val="both"/>
        <w:rPr>
          <w:rFonts w:ascii="Times New Roman" w:hAnsi="Times New Roman"/>
          <w:sz w:val="24"/>
          <w:szCs w:val="24"/>
          <w:lang w:val="en-US"/>
        </w:rPr>
      </w:pPr>
      <w:r>
        <w:rPr>
          <w:rFonts w:ascii="Times New Roman" w:hAnsi="Times New Roman"/>
          <w:sz w:val="24"/>
          <w:szCs w:val="24"/>
          <w:lang w:val="en-US"/>
        </w:rPr>
        <w:t>Through the comparison</w:t>
      </w:r>
      <w:r w:rsidRPr="006D215F">
        <w:rPr>
          <w:rFonts w:ascii="Times New Roman" w:hAnsi="Times New Roman"/>
          <w:sz w:val="24"/>
          <w:szCs w:val="24"/>
          <w:lang w:val="en-US"/>
        </w:rPr>
        <w:t xml:space="preserve"> of statistical overview of the application of the securing institutes in respect of all the criminal offences in 2013 there was an increase recorded in almost all the surveyed institutes</w:t>
      </w:r>
      <w:r>
        <w:rPr>
          <w:rFonts w:ascii="Times New Roman" w:hAnsi="Times New Roman"/>
          <w:sz w:val="24"/>
          <w:szCs w:val="24"/>
          <w:lang w:val="en-US"/>
        </w:rPr>
        <w:t>,</w:t>
      </w:r>
      <w:r w:rsidRPr="006D215F">
        <w:rPr>
          <w:rFonts w:ascii="Times New Roman" w:hAnsi="Times New Roman"/>
          <w:sz w:val="24"/>
          <w:szCs w:val="24"/>
          <w:lang w:val="en-US"/>
        </w:rPr>
        <w:t xml:space="preserve"> in the number of cases, as well as in the value of seized </w:t>
      </w:r>
      <w:r w:rsidRPr="006D215F">
        <w:rPr>
          <w:rFonts w:ascii="Times New Roman" w:hAnsi="Times New Roman"/>
          <w:sz w:val="24"/>
          <w:szCs w:val="24"/>
          <w:lang w:val="en-US"/>
        </w:rPr>
        <w:lastRenderedPageBreak/>
        <w:t>property, asse</w:t>
      </w:r>
      <w:r>
        <w:rPr>
          <w:rFonts w:ascii="Times New Roman" w:hAnsi="Times New Roman"/>
          <w:sz w:val="24"/>
          <w:szCs w:val="24"/>
          <w:lang w:val="en-US"/>
        </w:rPr>
        <w:t xml:space="preserve">ts and funds. A decrease was </w:t>
      </w:r>
      <w:r w:rsidRPr="006D215F">
        <w:rPr>
          <w:rFonts w:ascii="Times New Roman" w:hAnsi="Times New Roman"/>
          <w:sz w:val="24"/>
          <w:szCs w:val="24"/>
          <w:lang w:val="en-US"/>
        </w:rPr>
        <w:t>recorded in the procedure according to Section 89 of the Code of Criminal Procedure (</w:t>
      </w:r>
      <w:r w:rsidRPr="006D215F">
        <w:rPr>
          <w:rFonts w:ascii="Times New Roman" w:eastAsia="Times New Roman" w:hAnsi="Times New Roman"/>
          <w:bCs/>
          <w:sz w:val="24"/>
          <w:szCs w:val="24"/>
          <w:lang w:val="en-US"/>
        </w:rPr>
        <w:t>Duty to Surrender a Thing</w:t>
      </w:r>
      <w:r w:rsidRPr="006D215F">
        <w:rPr>
          <w:rFonts w:ascii="Times New Roman" w:hAnsi="Times New Roman"/>
          <w:sz w:val="24"/>
          <w:szCs w:val="24"/>
          <w:lang w:val="en-US"/>
        </w:rPr>
        <w:t>), pursuant to Section 91 of the Code of Criminal Procedure (</w:t>
      </w:r>
      <w:r w:rsidRPr="006D215F">
        <w:rPr>
          <w:rFonts w:ascii="Times New Roman" w:eastAsia="Times New Roman" w:hAnsi="Times New Roman"/>
          <w:bCs/>
          <w:sz w:val="24"/>
          <w:szCs w:val="24"/>
          <w:lang w:val="en-US"/>
        </w:rPr>
        <w:t>Withdrawal of a Thing</w:t>
      </w:r>
      <w:r w:rsidRPr="006D215F">
        <w:rPr>
          <w:rFonts w:ascii="Times New Roman" w:hAnsi="Times New Roman"/>
          <w:sz w:val="24"/>
          <w:szCs w:val="24"/>
          <w:lang w:val="en-US"/>
        </w:rPr>
        <w:t>), pursuant to Section 92 of the Code of Criminal Procedure (</w:t>
      </w:r>
      <w:r w:rsidRPr="006D215F">
        <w:rPr>
          <w:rFonts w:ascii="Times New Roman" w:hAnsi="Times New Roman"/>
          <w:spacing w:val="-3"/>
          <w:sz w:val="24"/>
          <w:szCs w:val="24"/>
          <w:lang w:val="en-US"/>
        </w:rPr>
        <w:t>Taking over of a Seized Thing</w:t>
      </w:r>
      <w:r w:rsidRPr="006D215F">
        <w:rPr>
          <w:rFonts w:ascii="Times New Roman" w:hAnsi="Times New Roman"/>
          <w:sz w:val="24"/>
          <w:szCs w:val="24"/>
          <w:lang w:val="en-US"/>
        </w:rPr>
        <w:t>) and pursuant to Section 96 of the Code of Criminal Procedure (</w:t>
      </w:r>
      <w:r w:rsidRPr="006D215F">
        <w:rPr>
          <w:rFonts w:ascii="Times New Roman" w:hAnsi="Times New Roman"/>
          <w:spacing w:val="-3"/>
          <w:sz w:val="24"/>
          <w:szCs w:val="24"/>
          <w:lang w:val="en-US"/>
        </w:rPr>
        <w:t>Suspension of the Right to Dispose of Registered Securities</w:t>
      </w:r>
      <w:r w:rsidRPr="006D215F">
        <w:rPr>
          <w:rFonts w:ascii="Times New Roman" w:hAnsi="Times New Roman"/>
          <w:sz w:val="24"/>
          <w:szCs w:val="24"/>
          <w:lang w:val="en-US"/>
        </w:rPr>
        <w:t>).</w:t>
      </w:r>
    </w:p>
    <w:p w:rsidR="00F77C8D" w:rsidRPr="006D215F" w:rsidRDefault="00F77C8D" w:rsidP="00F77C8D">
      <w:pPr>
        <w:spacing w:before="100" w:beforeAutospacing="1" w:after="100" w:afterAutospacing="1" w:line="240" w:lineRule="auto"/>
        <w:ind w:firstLine="709"/>
        <w:jc w:val="both"/>
        <w:rPr>
          <w:rFonts w:ascii="Times New Roman" w:hAnsi="Times New Roman"/>
          <w:sz w:val="24"/>
          <w:szCs w:val="24"/>
          <w:lang w:val="en-US"/>
        </w:rPr>
      </w:pPr>
      <w:r w:rsidRPr="006D215F">
        <w:rPr>
          <w:rFonts w:ascii="Times New Roman" w:hAnsi="Times New Roman"/>
          <w:sz w:val="24"/>
          <w:szCs w:val="24"/>
          <w:lang w:val="en-US"/>
        </w:rPr>
        <w:t>From the chart No. 7 it can also be concluded that the rat</w:t>
      </w:r>
      <w:r>
        <w:rPr>
          <w:rFonts w:ascii="Times New Roman" w:hAnsi="Times New Roman"/>
          <w:sz w:val="24"/>
          <w:szCs w:val="24"/>
          <w:lang w:val="en-US"/>
        </w:rPr>
        <w:t>io</w:t>
      </w:r>
      <w:r w:rsidRPr="006D215F">
        <w:rPr>
          <w:rFonts w:ascii="Times New Roman" w:hAnsi="Times New Roman"/>
          <w:sz w:val="24"/>
          <w:szCs w:val="24"/>
          <w:lang w:val="en-US"/>
        </w:rPr>
        <w:t xml:space="preserve"> of securing institutes of the Code of Criminal Procedure used </w:t>
      </w:r>
      <w:r>
        <w:rPr>
          <w:rFonts w:ascii="Times New Roman" w:hAnsi="Times New Roman"/>
          <w:sz w:val="24"/>
          <w:szCs w:val="24"/>
          <w:lang w:val="en-US"/>
        </w:rPr>
        <w:t>while uncovering</w:t>
      </w:r>
      <w:r w:rsidRPr="006D215F">
        <w:rPr>
          <w:rFonts w:ascii="Times New Roman" w:hAnsi="Times New Roman"/>
          <w:sz w:val="24"/>
          <w:szCs w:val="24"/>
          <w:lang w:val="en-US"/>
        </w:rPr>
        <w:t xml:space="preserve"> the realization of criminal offences of legalization of proceeds of criminal activity in the overall application of these institutes within the criminal proceedings for all the criminal offences mentioned in a select part of the Criminal Code is minimal.</w:t>
      </w:r>
    </w:p>
    <w:p w:rsidR="00F77C8D" w:rsidRPr="009D193B" w:rsidRDefault="00F77C8D" w:rsidP="00F77C8D">
      <w:pPr>
        <w:spacing w:after="0"/>
        <w:rPr>
          <w:rFonts w:ascii="Times New Roman" w:hAnsi="Times New Roman"/>
          <w:sz w:val="24"/>
          <w:szCs w:val="24"/>
        </w:rPr>
      </w:pPr>
    </w:p>
    <w:p w:rsidR="00F77C8D" w:rsidRPr="003B627A" w:rsidRDefault="00F77C8D" w:rsidP="00F77C8D">
      <w:pPr>
        <w:spacing w:after="0"/>
        <w:jc w:val="both"/>
        <w:rPr>
          <w:rFonts w:ascii="Times New Roman" w:hAnsi="Times New Roman" w:cs="Times New Roman"/>
          <w:sz w:val="20"/>
          <w:szCs w:val="20"/>
          <w:lang w:val="en-US"/>
        </w:rPr>
      </w:pPr>
      <w:r w:rsidRPr="003B627A">
        <w:rPr>
          <w:rFonts w:ascii="Times New Roman" w:hAnsi="Times New Roman" w:cs="Times New Roman"/>
          <w:sz w:val="20"/>
          <w:szCs w:val="20"/>
          <w:lang w:val="en-US"/>
        </w:rPr>
        <w:t xml:space="preserve">Chart No. 7: Comparison of statistical data on selected regulations of Code of Criminal Procedure in criminal proceedings in the year 2013 between all criminal offences and criminal offences commenced for </w:t>
      </w:r>
      <w:r w:rsidR="004707A2" w:rsidRPr="003B627A">
        <w:rPr>
          <w:rFonts w:ascii="Times New Roman" w:hAnsi="Times New Roman" w:cs="Times New Roman"/>
          <w:sz w:val="20"/>
          <w:szCs w:val="20"/>
          <w:lang w:val="en-US"/>
        </w:rPr>
        <w:t>Legalization</w:t>
      </w:r>
      <w:r w:rsidRPr="003B627A">
        <w:rPr>
          <w:rFonts w:ascii="Times New Roman" w:hAnsi="Times New Roman" w:cs="Times New Roman"/>
          <w:sz w:val="20"/>
          <w:szCs w:val="20"/>
          <w:lang w:val="en-US"/>
        </w:rPr>
        <w:t xml:space="preserve"> of the Proceeds of Crime under Section 233 and 234 of Criminal Code. </w:t>
      </w:r>
    </w:p>
    <w:p w:rsidR="00F77C8D" w:rsidRPr="003B627A" w:rsidRDefault="00F77C8D" w:rsidP="00F77C8D">
      <w:pPr>
        <w:spacing w:after="0" w:line="240" w:lineRule="auto"/>
        <w:jc w:val="both"/>
        <w:rPr>
          <w:rFonts w:ascii="Times New Roman" w:hAnsi="Times New Roman" w:cs="Times New Roman"/>
          <w:sz w:val="24"/>
          <w:szCs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2565"/>
        <w:gridCol w:w="1539"/>
        <w:gridCol w:w="1568"/>
        <w:gridCol w:w="1150"/>
        <w:gridCol w:w="1842"/>
      </w:tblGrid>
      <w:tr w:rsidR="00F77C8D" w:rsidRPr="003B627A" w:rsidTr="00F77C8D">
        <w:trPr>
          <w:trHeight w:val="510"/>
        </w:trPr>
        <w:tc>
          <w:tcPr>
            <w:tcW w:w="510" w:type="dxa"/>
            <w:vMerge w:val="restart"/>
          </w:tcPr>
          <w:p w:rsidR="00F77C8D" w:rsidRPr="003B627A" w:rsidRDefault="00F77C8D" w:rsidP="00F77C8D">
            <w:pPr>
              <w:rPr>
                <w:rFonts w:ascii="Times New Roman" w:hAnsi="Times New Roman" w:cs="Times New Roman"/>
                <w:b/>
                <w:bCs/>
                <w:sz w:val="24"/>
                <w:szCs w:val="24"/>
                <w:lang w:val="en-US"/>
              </w:rPr>
            </w:pPr>
          </w:p>
        </w:tc>
        <w:tc>
          <w:tcPr>
            <w:tcW w:w="2565" w:type="dxa"/>
            <w:vMerge w:val="restart"/>
            <w:vAlign w:val="center"/>
          </w:tcPr>
          <w:p w:rsidR="00F77C8D" w:rsidRPr="003B627A" w:rsidRDefault="00F77C8D" w:rsidP="00F77C8D">
            <w:pPr>
              <w:jc w:val="center"/>
              <w:rPr>
                <w:rFonts w:ascii="Times New Roman" w:hAnsi="Times New Roman" w:cs="Times New Roman"/>
                <w:b/>
                <w:bCs/>
                <w:sz w:val="24"/>
                <w:szCs w:val="24"/>
                <w:lang w:val="en-US"/>
              </w:rPr>
            </w:pPr>
            <w:r w:rsidRPr="003B627A">
              <w:rPr>
                <w:rFonts w:ascii="Times New Roman" w:hAnsi="Times New Roman" w:cs="Times New Roman"/>
                <w:b/>
                <w:bCs/>
                <w:sz w:val="24"/>
                <w:szCs w:val="24"/>
                <w:lang w:val="en-US"/>
              </w:rPr>
              <w:t xml:space="preserve">Regulations </w:t>
            </w:r>
          </w:p>
        </w:tc>
        <w:tc>
          <w:tcPr>
            <w:tcW w:w="3107" w:type="dxa"/>
            <w:gridSpan w:val="2"/>
            <w:vAlign w:val="center"/>
          </w:tcPr>
          <w:p w:rsidR="00F77C8D" w:rsidRPr="003B627A" w:rsidRDefault="00F77C8D" w:rsidP="00F77C8D">
            <w:pPr>
              <w:spacing w:after="0" w:line="240" w:lineRule="auto"/>
              <w:jc w:val="center"/>
              <w:rPr>
                <w:rFonts w:ascii="Times New Roman" w:hAnsi="Times New Roman" w:cs="Times New Roman"/>
                <w:b/>
                <w:bCs/>
                <w:sz w:val="24"/>
                <w:szCs w:val="24"/>
                <w:lang w:val="en-US"/>
              </w:rPr>
            </w:pPr>
            <w:r w:rsidRPr="003B627A">
              <w:rPr>
                <w:rFonts w:ascii="Times New Roman" w:hAnsi="Times New Roman" w:cs="Times New Roman"/>
                <w:b/>
                <w:bCs/>
                <w:sz w:val="24"/>
                <w:szCs w:val="24"/>
                <w:lang w:val="en-US"/>
              </w:rPr>
              <w:t>All criminal offences</w:t>
            </w:r>
          </w:p>
        </w:tc>
        <w:tc>
          <w:tcPr>
            <w:tcW w:w="2992" w:type="dxa"/>
            <w:gridSpan w:val="2"/>
            <w:vAlign w:val="center"/>
          </w:tcPr>
          <w:p w:rsidR="00F77C8D" w:rsidRPr="003B627A" w:rsidRDefault="00F77C8D" w:rsidP="00F77C8D">
            <w:pPr>
              <w:spacing w:after="0" w:line="240" w:lineRule="auto"/>
              <w:jc w:val="center"/>
              <w:rPr>
                <w:rFonts w:ascii="Times New Roman" w:hAnsi="Times New Roman" w:cs="Times New Roman"/>
                <w:b/>
                <w:bCs/>
                <w:sz w:val="24"/>
                <w:szCs w:val="24"/>
                <w:lang w:val="en-US"/>
              </w:rPr>
            </w:pPr>
            <w:r w:rsidRPr="003B627A">
              <w:rPr>
                <w:rFonts w:ascii="Times New Roman" w:hAnsi="Times New Roman" w:cs="Times New Roman"/>
                <w:b/>
                <w:bCs/>
                <w:sz w:val="24"/>
                <w:szCs w:val="24"/>
                <w:lang w:val="en-US"/>
              </w:rPr>
              <w:t>Section 233 and 234 of Criminal Code</w:t>
            </w:r>
          </w:p>
        </w:tc>
      </w:tr>
      <w:tr w:rsidR="00F77C8D" w:rsidRPr="003B627A" w:rsidTr="00F77C8D">
        <w:trPr>
          <w:trHeight w:val="510"/>
        </w:trPr>
        <w:tc>
          <w:tcPr>
            <w:tcW w:w="510" w:type="dxa"/>
            <w:vMerge/>
            <w:shd w:val="clear" w:color="auto" w:fill="E5DFEC"/>
            <w:vAlign w:val="center"/>
          </w:tcPr>
          <w:p w:rsidR="00F77C8D" w:rsidRPr="003B627A" w:rsidRDefault="00F77C8D" w:rsidP="00F77C8D">
            <w:pPr>
              <w:spacing w:after="0" w:line="240" w:lineRule="auto"/>
              <w:rPr>
                <w:rFonts w:ascii="Times New Roman" w:hAnsi="Times New Roman" w:cs="Times New Roman"/>
                <w:b/>
                <w:bCs/>
                <w:sz w:val="24"/>
                <w:szCs w:val="24"/>
                <w:lang w:val="en-US"/>
              </w:rPr>
            </w:pPr>
          </w:p>
        </w:tc>
        <w:tc>
          <w:tcPr>
            <w:tcW w:w="2565" w:type="dxa"/>
            <w:vMerge/>
            <w:shd w:val="clear" w:color="auto" w:fill="E5DFEC"/>
            <w:vAlign w:val="center"/>
          </w:tcPr>
          <w:p w:rsidR="00F77C8D" w:rsidRPr="003B627A" w:rsidRDefault="00F77C8D" w:rsidP="00F77C8D">
            <w:pPr>
              <w:spacing w:after="0" w:line="240" w:lineRule="auto"/>
              <w:rPr>
                <w:rFonts w:ascii="Times New Roman" w:hAnsi="Times New Roman" w:cs="Times New Roman"/>
                <w:b/>
                <w:bCs/>
                <w:sz w:val="24"/>
                <w:szCs w:val="24"/>
                <w:lang w:val="en-US"/>
              </w:rPr>
            </w:pPr>
          </w:p>
        </w:tc>
        <w:tc>
          <w:tcPr>
            <w:tcW w:w="1539" w:type="dxa"/>
            <w:vAlign w:val="center"/>
          </w:tcPr>
          <w:p w:rsidR="00F77C8D" w:rsidRPr="003B627A" w:rsidRDefault="00F77C8D" w:rsidP="00F77C8D">
            <w:pPr>
              <w:spacing w:after="0" w:line="240" w:lineRule="auto"/>
              <w:jc w:val="center"/>
              <w:rPr>
                <w:rFonts w:ascii="Times New Roman" w:hAnsi="Times New Roman" w:cs="Times New Roman"/>
                <w:b/>
                <w:bCs/>
                <w:sz w:val="24"/>
                <w:szCs w:val="24"/>
                <w:lang w:val="en-US"/>
              </w:rPr>
            </w:pPr>
            <w:r w:rsidRPr="003B627A">
              <w:rPr>
                <w:rFonts w:ascii="Times New Roman" w:hAnsi="Times New Roman" w:cs="Times New Roman"/>
                <w:b/>
                <w:bCs/>
                <w:sz w:val="24"/>
                <w:szCs w:val="24"/>
                <w:lang w:val="en-US"/>
              </w:rPr>
              <w:t>Number of cases</w:t>
            </w:r>
          </w:p>
        </w:tc>
        <w:tc>
          <w:tcPr>
            <w:tcW w:w="1568" w:type="dxa"/>
            <w:vAlign w:val="center"/>
          </w:tcPr>
          <w:p w:rsidR="00F77C8D" w:rsidRPr="003B627A" w:rsidRDefault="00F77C8D" w:rsidP="00F77C8D">
            <w:pPr>
              <w:spacing w:after="0" w:line="240" w:lineRule="auto"/>
              <w:jc w:val="center"/>
              <w:rPr>
                <w:rFonts w:ascii="Times New Roman" w:hAnsi="Times New Roman" w:cs="Times New Roman"/>
                <w:b/>
                <w:bCs/>
                <w:sz w:val="24"/>
                <w:szCs w:val="24"/>
                <w:lang w:val="en-US"/>
              </w:rPr>
            </w:pPr>
            <w:r w:rsidRPr="003B627A">
              <w:rPr>
                <w:rFonts w:ascii="Times New Roman" w:hAnsi="Times New Roman" w:cs="Times New Roman"/>
                <w:b/>
                <w:bCs/>
                <w:sz w:val="24"/>
                <w:szCs w:val="24"/>
                <w:lang w:val="en-US"/>
              </w:rPr>
              <w:t>Total value in EUR</w:t>
            </w:r>
          </w:p>
        </w:tc>
        <w:tc>
          <w:tcPr>
            <w:tcW w:w="1150" w:type="dxa"/>
            <w:vAlign w:val="center"/>
          </w:tcPr>
          <w:p w:rsidR="00F77C8D" w:rsidRPr="003B627A" w:rsidRDefault="00F77C8D" w:rsidP="00F77C8D">
            <w:pPr>
              <w:spacing w:after="0" w:line="240" w:lineRule="auto"/>
              <w:jc w:val="center"/>
              <w:rPr>
                <w:rFonts w:ascii="Times New Roman" w:hAnsi="Times New Roman" w:cs="Times New Roman"/>
                <w:b/>
                <w:bCs/>
                <w:sz w:val="24"/>
                <w:szCs w:val="24"/>
                <w:lang w:val="en-US"/>
              </w:rPr>
            </w:pPr>
            <w:r w:rsidRPr="003B627A">
              <w:rPr>
                <w:rFonts w:ascii="Times New Roman" w:hAnsi="Times New Roman" w:cs="Times New Roman"/>
                <w:b/>
                <w:bCs/>
                <w:sz w:val="24"/>
                <w:szCs w:val="24"/>
                <w:lang w:val="en-US"/>
              </w:rPr>
              <w:t>Number of cases</w:t>
            </w:r>
          </w:p>
        </w:tc>
        <w:tc>
          <w:tcPr>
            <w:tcW w:w="1842" w:type="dxa"/>
            <w:vAlign w:val="center"/>
          </w:tcPr>
          <w:p w:rsidR="00F77C8D" w:rsidRPr="003B627A" w:rsidRDefault="00F77C8D" w:rsidP="00F77C8D">
            <w:pPr>
              <w:spacing w:after="0" w:line="240" w:lineRule="auto"/>
              <w:jc w:val="center"/>
              <w:rPr>
                <w:rFonts w:ascii="Times New Roman" w:hAnsi="Times New Roman" w:cs="Times New Roman"/>
                <w:b/>
                <w:bCs/>
                <w:sz w:val="24"/>
                <w:szCs w:val="24"/>
                <w:lang w:val="en-US"/>
              </w:rPr>
            </w:pPr>
            <w:r w:rsidRPr="003B627A">
              <w:rPr>
                <w:rFonts w:ascii="Times New Roman" w:hAnsi="Times New Roman" w:cs="Times New Roman"/>
                <w:b/>
                <w:bCs/>
                <w:sz w:val="24"/>
                <w:szCs w:val="24"/>
                <w:lang w:val="en-US"/>
              </w:rPr>
              <w:t>Total value in EUR</w:t>
            </w:r>
          </w:p>
        </w:tc>
      </w:tr>
      <w:tr w:rsidR="00F77C8D" w:rsidRPr="003B627A" w:rsidTr="00F77C8D">
        <w:tc>
          <w:tcPr>
            <w:tcW w:w="510" w:type="dxa"/>
          </w:tcPr>
          <w:p w:rsidR="00F77C8D" w:rsidRPr="003B627A" w:rsidRDefault="00F77C8D" w:rsidP="00F77C8D">
            <w:pPr>
              <w:rPr>
                <w:rFonts w:ascii="Times New Roman" w:hAnsi="Times New Roman" w:cs="Times New Roman"/>
                <w:sz w:val="24"/>
                <w:szCs w:val="24"/>
                <w:lang w:val="en-US"/>
              </w:rPr>
            </w:pPr>
            <w:r w:rsidRPr="003B627A">
              <w:rPr>
                <w:rFonts w:ascii="Times New Roman" w:hAnsi="Times New Roman" w:cs="Times New Roman"/>
                <w:sz w:val="24"/>
                <w:szCs w:val="24"/>
                <w:lang w:val="en-US"/>
              </w:rPr>
              <w:t>1.</w:t>
            </w:r>
          </w:p>
        </w:tc>
        <w:tc>
          <w:tcPr>
            <w:tcW w:w="2565" w:type="dxa"/>
          </w:tcPr>
          <w:p w:rsidR="00F77C8D" w:rsidRPr="003B627A" w:rsidRDefault="00F77C8D" w:rsidP="00F77C8D">
            <w:pPr>
              <w:rPr>
                <w:rFonts w:ascii="Times New Roman" w:hAnsi="Times New Roman" w:cs="Times New Roman"/>
                <w:sz w:val="24"/>
                <w:szCs w:val="24"/>
                <w:lang w:val="en-US"/>
              </w:rPr>
            </w:pPr>
            <w:r w:rsidRPr="003B627A">
              <w:rPr>
                <w:rFonts w:ascii="Times New Roman" w:hAnsi="Times New Roman" w:cs="Times New Roman"/>
                <w:sz w:val="24"/>
                <w:szCs w:val="24"/>
                <w:lang w:val="en-US"/>
              </w:rPr>
              <w:t>Section 89 - Duty to Surrender a Thing, Section 91 - Withdrawal of a Thing, Section 92 - Taking over of a Seized Thing</w:t>
            </w:r>
          </w:p>
        </w:tc>
        <w:tc>
          <w:tcPr>
            <w:tcW w:w="1539" w:type="dxa"/>
          </w:tcPr>
          <w:p w:rsidR="00F77C8D" w:rsidRPr="003B627A" w:rsidRDefault="00F77C8D" w:rsidP="00F77C8D">
            <w:pPr>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7.782</w:t>
            </w:r>
          </w:p>
        </w:tc>
        <w:tc>
          <w:tcPr>
            <w:tcW w:w="1568" w:type="dxa"/>
          </w:tcPr>
          <w:p w:rsidR="00F77C8D" w:rsidRPr="003B627A" w:rsidRDefault="00F77C8D" w:rsidP="00F77C8D">
            <w:pPr>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9.181.789</w:t>
            </w:r>
          </w:p>
        </w:tc>
        <w:tc>
          <w:tcPr>
            <w:tcW w:w="1150" w:type="dxa"/>
          </w:tcPr>
          <w:p w:rsidR="00F77C8D" w:rsidRPr="003B627A" w:rsidRDefault="00F77C8D" w:rsidP="00F77C8D">
            <w:pPr>
              <w:spacing w:after="0" w:line="240" w:lineRule="auto"/>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249</w:t>
            </w:r>
          </w:p>
        </w:tc>
        <w:tc>
          <w:tcPr>
            <w:tcW w:w="1842" w:type="dxa"/>
          </w:tcPr>
          <w:p w:rsidR="00F77C8D" w:rsidRPr="003B627A" w:rsidRDefault="00F77C8D" w:rsidP="00F77C8D">
            <w:pPr>
              <w:spacing w:after="0" w:line="240" w:lineRule="auto"/>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2.066.638</w:t>
            </w:r>
          </w:p>
        </w:tc>
      </w:tr>
      <w:tr w:rsidR="00F77C8D" w:rsidRPr="003B627A" w:rsidTr="00F77C8D">
        <w:tc>
          <w:tcPr>
            <w:tcW w:w="510" w:type="dxa"/>
          </w:tcPr>
          <w:p w:rsidR="00F77C8D" w:rsidRPr="003B627A" w:rsidRDefault="00F77C8D" w:rsidP="00F77C8D">
            <w:pPr>
              <w:rPr>
                <w:rFonts w:ascii="Times New Roman" w:hAnsi="Times New Roman" w:cs="Times New Roman"/>
                <w:sz w:val="24"/>
                <w:szCs w:val="24"/>
                <w:lang w:val="en-US"/>
              </w:rPr>
            </w:pPr>
            <w:r w:rsidRPr="003B627A">
              <w:rPr>
                <w:rFonts w:ascii="Times New Roman" w:hAnsi="Times New Roman" w:cs="Times New Roman"/>
                <w:sz w:val="24"/>
                <w:szCs w:val="24"/>
                <w:lang w:val="en-US"/>
              </w:rPr>
              <w:t>4.</w:t>
            </w:r>
          </w:p>
        </w:tc>
        <w:tc>
          <w:tcPr>
            <w:tcW w:w="2565" w:type="dxa"/>
          </w:tcPr>
          <w:p w:rsidR="00F77C8D" w:rsidRPr="003B627A" w:rsidRDefault="00F77C8D" w:rsidP="00F77C8D">
            <w:pPr>
              <w:rPr>
                <w:rFonts w:ascii="Times New Roman" w:hAnsi="Times New Roman" w:cs="Times New Roman"/>
                <w:sz w:val="24"/>
                <w:szCs w:val="24"/>
                <w:lang w:val="en-US"/>
              </w:rPr>
            </w:pPr>
            <w:r w:rsidRPr="003B627A">
              <w:rPr>
                <w:rFonts w:ascii="Times New Roman" w:hAnsi="Times New Roman" w:cs="Times New Roman"/>
                <w:sz w:val="24"/>
                <w:szCs w:val="24"/>
                <w:lang w:val="en-US"/>
              </w:rPr>
              <w:t>Section 95 - Placing the Account on Hold</w:t>
            </w:r>
          </w:p>
        </w:tc>
        <w:tc>
          <w:tcPr>
            <w:tcW w:w="1539" w:type="dxa"/>
          </w:tcPr>
          <w:p w:rsidR="00F77C8D" w:rsidRPr="003B627A" w:rsidRDefault="00E7610D" w:rsidP="00F77C8D">
            <w:pPr>
              <w:jc w:val="center"/>
              <w:rPr>
                <w:rFonts w:ascii="Times New Roman" w:hAnsi="Times New Roman" w:cs="Times New Roman"/>
                <w:sz w:val="24"/>
                <w:szCs w:val="24"/>
                <w:lang w:val="en-US"/>
              </w:rPr>
            </w:pPr>
            <w:r>
              <w:rPr>
                <w:rFonts w:ascii="Times New Roman" w:hAnsi="Times New Roman" w:cs="Times New Roman"/>
                <w:sz w:val="24"/>
                <w:szCs w:val="24"/>
                <w:lang w:val="en-US"/>
              </w:rPr>
              <w:t>143</w:t>
            </w:r>
          </w:p>
        </w:tc>
        <w:tc>
          <w:tcPr>
            <w:tcW w:w="1568" w:type="dxa"/>
          </w:tcPr>
          <w:p w:rsidR="00F77C8D" w:rsidRPr="003B627A" w:rsidRDefault="00F77C8D" w:rsidP="00F77C8D">
            <w:pPr>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6.220.255</w:t>
            </w:r>
          </w:p>
        </w:tc>
        <w:tc>
          <w:tcPr>
            <w:tcW w:w="1150" w:type="dxa"/>
          </w:tcPr>
          <w:p w:rsidR="00F77C8D" w:rsidRPr="003B627A" w:rsidRDefault="00E7610D" w:rsidP="00F77C8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842" w:type="dxa"/>
          </w:tcPr>
          <w:p w:rsidR="00F77C8D" w:rsidRPr="003B627A" w:rsidRDefault="00F77C8D" w:rsidP="00E7610D">
            <w:pPr>
              <w:spacing w:after="0" w:line="240" w:lineRule="auto"/>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5.8</w:t>
            </w:r>
            <w:r w:rsidR="00E7610D">
              <w:rPr>
                <w:rFonts w:ascii="Times New Roman" w:hAnsi="Times New Roman" w:cs="Times New Roman"/>
                <w:sz w:val="24"/>
                <w:szCs w:val="24"/>
                <w:lang w:val="en-US"/>
              </w:rPr>
              <w:t>27.726</w:t>
            </w:r>
            <w:bookmarkStart w:id="25" w:name="_GoBack"/>
            <w:bookmarkEnd w:id="25"/>
          </w:p>
        </w:tc>
      </w:tr>
      <w:tr w:rsidR="00F77C8D" w:rsidRPr="003B627A" w:rsidTr="00F77C8D">
        <w:tc>
          <w:tcPr>
            <w:tcW w:w="510" w:type="dxa"/>
          </w:tcPr>
          <w:p w:rsidR="00F77C8D" w:rsidRPr="003B627A" w:rsidRDefault="00F77C8D" w:rsidP="00F77C8D">
            <w:pPr>
              <w:rPr>
                <w:rFonts w:ascii="Times New Roman" w:hAnsi="Times New Roman" w:cs="Times New Roman"/>
                <w:sz w:val="24"/>
                <w:szCs w:val="24"/>
                <w:lang w:val="en-US"/>
              </w:rPr>
            </w:pPr>
            <w:r w:rsidRPr="003B627A">
              <w:rPr>
                <w:rFonts w:ascii="Times New Roman" w:hAnsi="Times New Roman" w:cs="Times New Roman"/>
                <w:sz w:val="24"/>
                <w:szCs w:val="24"/>
                <w:lang w:val="en-US"/>
              </w:rPr>
              <w:t>5.</w:t>
            </w:r>
          </w:p>
        </w:tc>
        <w:tc>
          <w:tcPr>
            <w:tcW w:w="2565" w:type="dxa"/>
          </w:tcPr>
          <w:p w:rsidR="00F77C8D" w:rsidRPr="003B627A" w:rsidRDefault="00F77C8D" w:rsidP="00F77C8D">
            <w:pPr>
              <w:rPr>
                <w:rFonts w:ascii="Times New Roman" w:hAnsi="Times New Roman" w:cs="Times New Roman"/>
                <w:sz w:val="24"/>
                <w:szCs w:val="24"/>
                <w:lang w:val="en-US"/>
              </w:rPr>
            </w:pPr>
            <w:r w:rsidRPr="003B627A">
              <w:rPr>
                <w:rFonts w:ascii="Times New Roman" w:hAnsi="Times New Roman" w:cs="Times New Roman"/>
                <w:sz w:val="24"/>
                <w:szCs w:val="24"/>
                <w:lang w:val="en-US"/>
              </w:rPr>
              <w:t>Section 96 - Suspension of the Right to Dispose of Registered Securities</w:t>
            </w:r>
          </w:p>
        </w:tc>
        <w:tc>
          <w:tcPr>
            <w:tcW w:w="1539" w:type="dxa"/>
          </w:tcPr>
          <w:p w:rsidR="00F77C8D" w:rsidRPr="003B627A" w:rsidRDefault="00F77C8D" w:rsidP="00F77C8D">
            <w:pPr>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1</w:t>
            </w:r>
          </w:p>
        </w:tc>
        <w:tc>
          <w:tcPr>
            <w:tcW w:w="1568" w:type="dxa"/>
          </w:tcPr>
          <w:p w:rsidR="00F77C8D" w:rsidRPr="003B627A" w:rsidRDefault="00F77C8D" w:rsidP="00F77C8D">
            <w:pPr>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150</w:t>
            </w:r>
          </w:p>
        </w:tc>
        <w:tc>
          <w:tcPr>
            <w:tcW w:w="1150" w:type="dxa"/>
          </w:tcPr>
          <w:p w:rsidR="00F77C8D" w:rsidRPr="003B627A" w:rsidRDefault="00F77C8D" w:rsidP="00F77C8D">
            <w:pPr>
              <w:spacing w:after="0" w:line="240" w:lineRule="auto"/>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w:t>
            </w:r>
          </w:p>
        </w:tc>
        <w:tc>
          <w:tcPr>
            <w:tcW w:w="1842" w:type="dxa"/>
          </w:tcPr>
          <w:p w:rsidR="00F77C8D" w:rsidRPr="003B627A" w:rsidRDefault="00F77C8D" w:rsidP="00F77C8D">
            <w:pPr>
              <w:spacing w:after="0" w:line="240" w:lineRule="auto"/>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w:t>
            </w:r>
          </w:p>
        </w:tc>
      </w:tr>
      <w:tr w:rsidR="00F77C8D" w:rsidRPr="003B627A" w:rsidTr="00F77C8D">
        <w:tc>
          <w:tcPr>
            <w:tcW w:w="510" w:type="dxa"/>
          </w:tcPr>
          <w:p w:rsidR="00F77C8D" w:rsidRPr="003B627A" w:rsidRDefault="00F77C8D" w:rsidP="00F77C8D">
            <w:pPr>
              <w:rPr>
                <w:rFonts w:ascii="Times New Roman" w:hAnsi="Times New Roman" w:cs="Times New Roman"/>
                <w:sz w:val="24"/>
                <w:szCs w:val="24"/>
                <w:lang w:val="en-US"/>
              </w:rPr>
            </w:pPr>
            <w:r w:rsidRPr="003B627A">
              <w:rPr>
                <w:rFonts w:ascii="Times New Roman" w:hAnsi="Times New Roman" w:cs="Times New Roman"/>
                <w:sz w:val="24"/>
                <w:szCs w:val="24"/>
                <w:lang w:val="en-US"/>
              </w:rPr>
              <w:t>6.</w:t>
            </w:r>
          </w:p>
        </w:tc>
        <w:tc>
          <w:tcPr>
            <w:tcW w:w="2565" w:type="dxa"/>
          </w:tcPr>
          <w:p w:rsidR="00F77C8D" w:rsidRPr="003B627A" w:rsidRDefault="00F77C8D" w:rsidP="00F77C8D">
            <w:pPr>
              <w:rPr>
                <w:rFonts w:ascii="Times New Roman" w:hAnsi="Times New Roman" w:cs="Times New Roman"/>
                <w:sz w:val="24"/>
                <w:szCs w:val="24"/>
                <w:lang w:val="en-US"/>
              </w:rPr>
            </w:pPr>
            <w:r w:rsidRPr="003B627A">
              <w:rPr>
                <w:rFonts w:ascii="Times New Roman" w:hAnsi="Times New Roman" w:cs="Times New Roman"/>
                <w:sz w:val="24"/>
                <w:szCs w:val="24"/>
                <w:lang w:val="en-US"/>
              </w:rPr>
              <w:t>Section 97 - Restituting the Thing</w:t>
            </w:r>
          </w:p>
        </w:tc>
        <w:tc>
          <w:tcPr>
            <w:tcW w:w="1539" w:type="dxa"/>
          </w:tcPr>
          <w:p w:rsidR="00F77C8D" w:rsidRPr="003B627A" w:rsidRDefault="00F77C8D" w:rsidP="00F77C8D">
            <w:pPr>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4.072</w:t>
            </w:r>
          </w:p>
        </w:tc>
        <w:tc>
          <w:tcPr>
            <w:tcW w:w="1568" w:type="dxa"/>
          </w:tcPr>
          <w:p w:rsidR="00F77C8D" w:rsidRPr="003B627A" w:rsidRDefault="00F77C8D" w:rsidP="00F77C8D">
            <w:pPr>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4.933.857</w:t>
            </w:r>
          </w:p>
        </w:tc>
        <w:tc>
          <w:tcPr>
            <w:tcW w:w="1150" w:type="dxa"/>
          </w:tcPr>
          <w:p w:rsidR="00F77C8D" w:rsidRPr="003B627A" w:rsidRDefault="00F77C8D" w:rsidP="00F77C8D">
            <w:pPr>
              <w:spacing w:after="0" w:line="240" w:lineRule="auto"/>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64</w:t>
            </w:r>
          </w:p>
        </w:tc>
        <w:tc>
          <w:tcPr>
            <w:tcW w:w="1842" w:type="dxa"/>
          </w:tcPr>
          <w:p w:rsidR="00F77C8D" w:rsidRPr="003B627A" w:rsidRDefault="00F77C8D" w:rsidP="00F77C8D">
            <w:pPr>
              <w:spacing w:after="0" w:line="240" w:lineRule="auto"/>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576.290</w:t>
            </w:r>
          </w:p>
        </w:tc>
      </w:tr>
      <w:tr w:rsidR="00F77C8D" w:rsidRPr="003B627A" w:rsidTr="00F77C8D">
        <w:tc>
          <w:tcPr>
            <w:tcW w:w="510" w:type="dxa"/>
          </w:tcPr>
          <w:p w:rsidR="00F77C8D" w:rsidRPr="003B627A" w:rsidRDefault="00F77C8D" w:rsidP="00F77C8D">
            <w:pPr>
              <w:rPr>
                <w:rFonts w:ascii="Times New Roman" w:hAnsi="Times New Roman" w:cs="Times New Roman"/>
                <w:sz w:val="24"/>
                <w:szCs w:val="24"/>
                <w:lang w:val="en-US"/>
              </w:rPr>
            </w:pPr>
            <w:r w:rsidRPr="003B627A">
              <w:rPr>
                <w:rFonts w:ascii="Times New Roman" w:hAnsi="Times New Roman" w:cs="Times New Roman"/>
                <w:sz w:val="24"/>
                <w:szCs w:val="24"/>
                <w:lang w:val="en-US"/>
              </w:rPr>
              <w:t>7.</w:t>
            </w:r>
          </w:p>
        </w:tc>
        <w:tc>
          <w:tcPr>
            <w:tcW w:w="2565" w:type="dxa"/>
          </w:tcPr>
          <w:p w:rsidR="00F77C8D" w:rsidRPr="003B627A" w:rsidRDefault="00F77C8D" w:rsidP="00F77C8D">
            <w:pPr>
              <w:rPr>
                <w:rFonts w:ascii="Times New Roman" w:hAnsi="Times New Roman" w:cs="Times New Roman"/>
                <w:sz w:val="24"/>
                <w:szCs w:val="24"/>
                <w:lang w:val="en-US"/>
              </w:rPr>
            </w:pPr>
            <w:r w:rsidRPr="003B627A">
              <w:rPr>
                <w:rFonts w:ascii="Times New Roman" w:hAnsi="Times New Roman" w:cs="Times New Roman"/>
                <w:sz w:val="24"/>
                <w:szCs w:val="24"/>
                <w:lang w:val="en-US"/>
              </w:rPr>
              <w:t xml:space="preserve">Section 550 - Surrender of Things (International Rogatory Letter) </w:t>
            </w:r>
          </w:p>
        </w:tc>
        <w:tc>
          <w:tcPr>
            <w:tcW w:w="1539" w:type="dxa"/>
          </w:tcPr>
          <w:p w:rsidR="00F77C8D" w:rsidRPr="003B627A" w:rsidRDefault="00F77C8D" w:rsidP="00F77C8D">
            <w:pPr>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42</w:t>
            </w:r>
          </w:p>
        </w:tc>
        <w:tc>
          <w:tcPr>
            <w:tcW w:w="1568" w:type="dxa"/>
          </w:tcPr>
          <w:p w:rsidR="00F77C8D" w:rsidRPr="003B627A" w:rsidRDefault="00F77C8D" w:rsidP="00F77C8D">
            <w:pPr>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2.690.397</w:t>
            </w:r>
          </w:p>
        </w:tc>
        <w:tc>
          <w:tcPr>
            <w:tcW w:w="1150" w:type="dxa"/>
          </w:tcPr>
          <w:p w:rsidR="00F77C8D" w:rsidRPr="003B627A" w:rsidRDefault="00F77C8D" w:rsidP="00F77C8D">
            <w:pPr>
              <w:spacing w:after="0" w:line="240" w:lineRule="auto"/>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w:t>
            </w:r>
          </w:p>
        </w:tc>
        <w:tc>
          <w:tcPr>
            <w:tcW w:w="1842" w:type="dxa"/>
          </w:tcPr>
          <w:p w:rsidR="00F77C8D" w:rsidRPr="003B627A" w:rsidRDefault="00F77C8D" w:rsidP="00F77C8D">
            <w:pPr>
              <w:spacing w:after="0" w:line="240" w:lineRule="auto"/>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w:t>
            </w:r>
          </w:p>
        </w:tc>
      </w:tr>
      <w:tr w:rsidR="00F77C8D" w:rsidRPr="003B627A" w:rsidTr="00F77C8D">
        <w:tc>
          <w:tcPr>
            <w:tcW w:w="510" w:type="dxa"/>
          </w:tcPr>
          <w:p w:rsidR="00F77C8D" w:rsidRPr="003B627A" w:rsidRDefault="00F77C8D" w:rsidP="00F77C8D">
            <w:pPr>
              <w:rPr>
                <w:rFonts w:ascii="Times New Roman" w:hAnsi="Times New Roman" w:cs="Times New Roman"/>
                <w:sz w:val="24"/>
                <w:szCs w:val="24"/>
                <w:lang w:val="en-US"/>
              </w:rPr>
            </w:pPr>
            <w:r w:rsidRPr="003B627A">
              <w:rPr>
                <w:rFonts w:ascii="Times New Roman" w:hAnsi="Times New Roman" w:cs="Times New Roman"/>
                <w:sz w:val="24"/>
                <w:szCs w:val="24"/>
                <w:lang w:val="en-US"/>
              </w:rPr>
              <w:t>8.</w:t>
            </w:r>
          </w:p>
        </w:tc>
        <w:tc>
          <w:tcPr>
            <w:tcW w:w="2565" w:type="dxa"/>
          </w:tcPr>
          <w:p w:rsidR="00F77C8D" w:rsidRPr="003B627A" w:rsidRDefault="00F77C8D" w:rsidP="00F77C8D">
            <w:pPr>
              <w:rPr>
                <w:rFonts w:ascii="Times New Roman" w:hAnsi="Times New Roman" w:cs="Times New Roman"/>
                <w:sz w:val="24"/>
                <w:szCs w:val="24"/>
                <w:lang w:val="en-US"/>
              </w:rPr>
            </w:pPr>
            <w:r w:rsidRPr="003B627A">
              <w:rPr>
                <w:rFonts w:ascii="Times New Roman" w:hAnsi="Times New Roman" w:cs="Times New Roman"/>
                <w:sz w:val="24"/>
                <w:szCs w:val="24"/>
                <w:lang w:val="en-US"/>
              </w:rPr>
              <w:t xml:space="preserve">Section 551 - Seizure of Property (International Rogatory Letter) </w:t>
            </w:r>
          </w:p>
        </w:tc>
        <w:tc>
          <w:tcPr>
            <w:tcW w:w="1539" w:type="dxa"/>
          </w:tcPr>
          <w:p w:rsidR="00F77C8D" w:rsidRPr="003B627A" w:rsidRDefault="00F77C8D" w:rsidP="00F77C8D">
            <w:pPr>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48</w:t>
            </w:r>
          </w:p>
        </w:tc>
        <w:tc>
          <w:tcPr>
            <w:tcW w:w="1568" w:type="dxa"/>
          </w:tcPr>
          <w:p w:rsidR="00F77C8D" w:rsidRPr="003B627A" w:rsidRDefault="00F77C8D" w:rsidP="00F77C8D">
            <w:pPr>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135.379</w:t>
            </w:r>
          </w:p>
        </w:tc>
        <w:tc>
          <w:tcPr>
            <w:tcW w:w="1150" w:type="dxa"/>
          </w:tcPr>
          <w:p w:rsidR="00F77C8D" w:rsidRPr="003B627A" w:rsidRDefault="00F77C8D" w:rsidP="00F77C8D">
            <w:pPr>
              <w:spacing w:after="0" w:line="240" w:lineRule="auto"/>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w:t>
            </w:r>
          </w:p>
        </w:tc>
        <w:tc>
          <w:tcPr>
            <w:tcW w:w="1842" w:type="dxa"/>
          </w:tcPr>
          <w:p w:rsidR="00F77C8D" w:rsidRPr="003B627A" w:rsidRDefault="00F77C8D" w:rsidP="00F77C8D">
            <w:pPr>
              <w:spacing w:after="0" w:line="240" w:lineRule="auto"/>
              <w:jc w:val="center"/>
              <w:rPr>
                <w:rFonts w:ascii="Times New Roman" w:hAnsi="Times New Roman" w:cs="Times New Roman"/>
                <w:sz w:val="24"/>
                <w:szCs w:val="24"/>
                <w:lang w:val="en-US"/>
              </w:rPr>
            </w:pPr>
            <w:r w:rsidRPr="003B627A">
              <w:rPr>
                <w:rFonts w:ascii="Times New Roman" w:hAnsi="Times New Roman" w:cs="Times New Roman"/>
                <w:sz w:val="24"/>
                <w:szCs w:val="24"/>
                <w:lang w:val="en-US"/>
              </w:rPr>
              <w:t>-</w:t>
            </w:r>
          </w:p>
        </w:tc>
      </w:tr>
    </w:tbl>
    <w:p w:rsidR="00F77C8D" w:rsidRPr="003B627A" w:rsidRDefault="00F77C8D" w:rsidP="00F77C8D">
      <w:pPr>
        <w:rPr>
          <w:rFonts w:ascii="Times New Roman" w:hAnsi="Times New Roman" w:cs="Times New Roman"/>
          <w:sz w:val="24"/>
          <w:szCs w:val="24"/>
          <w:lang w:val="en-US"/>
        </w:rPr>
      </w:pPr>
    </w:p>
    <w:p w:rsidR="00F77C8D" w:rsidRPr="003B627A" w:rsidRDefault="00F77C8D" w:rsidP="00F77C8D">
      <w:pPr>
        <w:rPr>
          <w:rFonts w:ascii="Times New Roman" w:hAnsi="Times New Roman" w:cs="Times New Roman"/>
          <w:sz w:val="24"/>
          <w:szCs w:val="24"/>
          <w:lang w:val="en-US"/>
        </w:rPr>
      </w:pPr>
    </w:p>
    <w:p w:rsidR="00F77C8D" w:rsidRPr="003B627A" w:rsidRDefault="00F77C8D" w:rsidP="00F77C8D">
      <w:pPr>
        <w:rPr>
          <w:rFonts w:ascii="Times New Roman" w:hAnsi="Times New Roman" w:cs="Times New Roman"/>
          <w:sz w:val="24"/>
          <w:szCs w:val="24"/>
          <w:lang w:val="en-US"/>
        </w:rPr>
        <w:sectPr w:rsidR="00F77C8D" w:rsidRPr="003B627A" w:rsidSect="00792757">
          <w:headerReference w:type="default" r:id="rId9"/>
          <w:footerReference w:type="default" r:id="rId10"/>
          <w:headerReference w:type="first" r:id="rId11"/>
          <w:pgSz w:w="11906" w:h="16838" w:code="9"/>
          <w:pgMar w:top="1420" w:right="1418" w:bottom="1418" w:left="1418" w:header="709" w:footer="75" w:gutter="0"/>
          <w:pgNumType w:start="1"/>
          <w:cols w:space="708"/>
          <w:titlePg/>
          <w:docGrid w:linePitch="360"/>
        </w:sectPr>
      </w:pPr>
    </w:p>
    <w:p w:rsidR="00F77C8D" w:rsidRDefault="00F77C8D" w:rsidP="00F77C8D">
      <w:pPr>
        <w:rPr>
          <w:rFonts w:ascii="Times New Roman" w:hAnsi="Times New Roman" w:cs="Times New Roman"/>
          <w:sz w:val="20"/>
          <w:szCs w:val="20"/>
          <w:lang w:val="en-US"/>
        </w:rPr>
      </w:pPr>
      <w:r w:rsidRPr="003B627A">
        <w:rPr>
          <w:rFonts w:ascii="Times New Roman" w:hAnsi="Times New Roman" w:cs="Times New Roman"/>
          <w:sz w:val="20"/>
          <w:szCs w:val="20"/>
          <w:lang w:val="en-US"/>
        </w:rPr>
        <w:lastRenderedPageBreak/>
        <w:t xml:space="preserve">Chart No. 8: Statistical data on criminal offences </w:t>
      </w:r>
      <w:r>
        <w:rPr>
          <w:rFonts w:ascii="Times New Roman" w:hAnsi="Times New Roman" w:cs="Times New Roman"/>
          <w:sz w:val="20"/>
          <w:szCs w:val="20"/>
          <w:lang w:val="en-US"/>
        </w:rPr>
        <w:t>of</w:t>
      </w:r>
      <w:r w:rsidRPr="003B627A">
        <w:rPr>
          <w:rFonts w:ascii="Times New Roman" w:hAnsi="Times New Roman" w:cs="Times New Roman"/>
          <w:sz w:val="20"/>
          <w:szCs w:val="20"/>
          <w:lang w:val="en-US"/>
        </w:rPr>
        <w:t xml:space="preserve"> Legalization of the Proceeds of Crime under Section 233 and 234 of Criminal Code.</w:t>
      </w:r>
    </w:p>
    <w:tbl>
      <w:tblPr>
        <w:tblpPr w:leftFromText="141" w:rightFromText="141" w:vertAnchor="page" w:horzAnchor="margin" w:tblpY="2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
        <w:gridCol w:w="997"/>
        <w:gridCol w:w="1056"/>
        <w:gridCol w:w="643"/>
        <w:gridCol w:w="643"/>
        <w:gridCol w:w="1116"/>
        <w:gridCol w:w="643"/>
        <w:gridCol w:w="643"/>
        <w:gridCol w:w="1116"/>
        <w:gridCol w:w="647"/>
        <w:gridCol w:w="416"/>
        <w:gridCol w:w="316"/>
        <w:gridCol w:w="647"/>
        <w:gridCol w:w="416"/>
        <w:gridCol w:w="316"/>
        <w:gridCol w:w="647"/>
        <w:gridCol w:w="643"/>
        <w:gridCol w:w="866"/>
        <w:gridCol w:w="647"/>
        <w:gridCol w:w="643"/>
        <w:gridCol w:w="770"/>
      </w:tblGrid>
      <w:tr w:rsidR="003B10A4" w:rsidRPr="00A32E7D" w:rsidTr="0006728A">
        <w:trPr>
          <w:trHeight w:val="135"/>
        </w:trPr>
        <w:tc>
          <w:tcPr>
            <w:tcW w:w="560" w:type="dxa"/>
            <w:vMerge w:val="restart"/>
          </w:tcPr>
          <w:p w:rsidR="003B10A4" w:rsidRPr="00A32E7D" w:rsidRDefault="003B10A4" w:rsidP="0006728A">
            <w:pPr>
              <w:spacing w:after="0" w:line="240" w:lineRule="auto"/>
              <w:rPr>
                <w:rFonts w:ascii="Times New Roman" w:hAnsi="Times New Roman" w:cs="Times New Roman"/>
                <w:b/>
                <w:bCs/>
              </w:rPr>
            </w:pPr>
          </w:p>
        </w:tc>
        <w:tc>
          <w:tcPr>
            <w:tcW w:w="1833" w:type="dxa"/>
            <w:gridSpan w:val="2"/>
            <w:vMerge w:val="restart"/>
          </w:tcPr>
          <w:p w:rsidR="003B10A4" w:rsidRPr="00A32E7D" w:rsidRDefault="003B10A4" w:rsidP="0006728A">
            <w:pPr>
              <w:spacing w:after="0" w:line="240" w:lineRule="auto"/>
              <w:rPr>
                <w:rFonts w:ascii="Times New Roman" w:hAnsi="Times New Roman" w:cs="Times New Roman"/>
                <w:b/>
                <w:bCs/>
              </w:rPr>
            </w:pPr>
            <w:r w:rsidRPr="00A32E7D">
              <w:rPr>
                <w:rFonts w:ascii="Times New Roman" w:hAnsi="Times New Roman" w:cs="Times New Roman"/>
                <w:b/>
                <w:bCs/>
              </w:rPr>
              <w:t>Regulations of Code of Criminal Procedure</w:t>
            </w:r>
          </w:p>
        </w:tc>
        <w:tc>
          <w:tcPr>
            <w:tcW w:w="4602" w:type="dxa"/>
            <w:gridSpan w:val="6"/>
          </w:tcPr>
          <w:p w:rsidR="003B10A4" w:rsidRPr="00A32E7D" w:rsidRDefault="003B10A4" w:rsidP="0006728A">
            <w:pPr>
              <w:spacing w:after="0" w:line="240" w:lineRule="auto"/>
              <w:jc w:val="center"/>
              <w:rPr>
                <w:rFonts w:ascii="Times New Roman" w:hAnsi="Times New Roman" w:cs="Times New Roman"/>
                <w:b/>
                <w:bCs/>
              </w:rPr>
            </w:pPr>
            <w:r w:rsidRPr="00A32E7D">
              <w:rPr>
                <w:rFonts w:ascii="Times New Roman" w:hAnsi="Times New Roman" w:cs="Times New Roman"/>
                <w:b/>
                <w:bCs/>
              </w:rPr>
              <w:t>Ministry of Interior of the Slovak republic</w:t>
            </w:r>
          </w:p>
        </w:tc>
        <w:tc>
          <w:tcPr>
            <w:tcW w:w="2889" w:type="dxa"/>
            <w:gridSpan w:val="6"/>
          </w:tcPr>
          <w:p w:rsidR="003B10A4" w:rsidRPr="00A32E7D" w:rsidRDefault="003B10A4" w:rsidP="0006728A">
            <w:pPr>
              <w:spacing w:after="0" w:line="240" w:lineRule="auto"/>
              <w:jc w:val="center"/>
              <w:rPr>
                <w:rFonts w:ascii="Times New Roman" w:hAnsi="Times New Roman" w:cs="Times New Roman"/>
                <w:b/>
                <w:bCs/>
              </w:rPr>
            </w:pPr>
            <w:r w:rsidRPr="00A32E7D">
              <w:rPr>
                <w:rFonts w:ascii="Times New Roman" w:hAnsi="Times New Roman" w:cs="Times New Roman"/>
                <w:b/>
                <w:bCs/>
              </w:rPr>
              <w:t>General Prosecutor´s Office</w:t>
            </w:r>
          </w:p>
        </w:tc>
        <w:tc>
          <w:tcPr>
            <w:tcW w:w="4334" w:type="dxa"/>
            <w:gridSpan w:val="6"/>
          </w:tcPr>
          <w:p w:rsidR="003B10A4" w:rsidRPr="00A32E7D" w:rsidRDefault="003B10A4" w:rsidP="0006728A">
            <w:pPr>
              <w:spacing w:after="0" w:line="240" w:lineRule="auto"/>
              <w:jc w:val="center"/>
              <w:rPr>
                <w:rFonts w:ascii="Times New Roman" w:hAnsi="Times New Roman" w:cs="Times New Roman"/>
                <w:b/>
                <w:bCs/>
              </w:rPr>
            </w:pPr>
            <w:r w:rsidRPr="00A32E7D">
              <w:rPr>
                <w:rFonts w:ascii="Times New Roman" w:hAnsi="Times New Roman" w:cs="Times New Roman"/>
                <w:b/>
                <w:bCs/>
              </w:rPr>
              <w:t>Ministry of Justice of the Slovak republic</w:t>
            </w:r>
          </w:p>
        </w:tc>
      </w:tr>
      <w:tr w:rsidR="003B10A4" w:rsidRPr="00A32E7D" w:rsidTr="0006728A">
        <w:trPr>
          <w:trHeight w:val="135"/>
        </w:trPr>
        <w:tc>
          <w:tcPr>
            <w:tcW w:w="0" w:type="auto"/>
            <w:vMerge/>
            <w:vAlign w:val="center"/>
          </w:tcPr>
          <w:p w:rsidR="003B10A4" w:rsidRPr="00A32E7D" w:rsidRDefault="003B10A4" w:rsidP="0006728A">
            <w:pPr>
              <w:spacing w:after="0" w:line="240" w:lineRule="auto"/>
              <w:rPr>
                <w:rFonts w:ascii="Times New Roman" w:hAnsi="Times New Roman" w:cs="Times New Roman"/>
                <w:b/>
                <w:bCs/>
              </w:rPr>
            </w:pPr>
          </w:p>
        </w:tc>
        <w:tc>
          <w:tcPr>
            <w:tcW w:w="0" w:type="auto"/>
            <w:gridSpan w:val="2"/>
            <w:vMerge/>
            <w:vAlign w:val="center"/>
          </w:tcPr>
          <w:p w:rsidR="003B10A4" w:rsidRPr="00A32E7D" w:rsidRDefault="003B10A4" w:rsidP="0006728A">
            <w:pPr>
              <w:spacing w:after="0" w:line="240" w:lineRule="auto"/>
              <w:rPr>
                <w:rFonts w:ascii="Times New Roman" w:hAnsi="Times New Roman" w:cs="Times New Roman"/>
                <w:b/>
                <w:bCs/>
              </w:rPr>
            </w:pPr>
          </w:p>
        </w:tc>
        <w:tc>
          <w:tcPr>
            <w:tcW w:w="2301" w:type="dxa"/>
            <w:gridSpan w:val="3"/>
          </w:tcPr>
          <w:p w:rsidR="003B10A4" w:rsidRPr="00A32E7D" w:rsidRDefault="003B10A4" w:rsidP="0006728A">
            <w:pPr>
              <w:spacing w:after="0" w:line="240" w:lineRule="auto"/>
              <w:jc w:val="center"/>
              <w:rPr>
                <w:rFonts w:ascii="Times New Roman" w:hAnsi="Times New Roman" w:cs="Times New Roman"/>
                <w:b/>
                <w:bCs/>
              </w:rPr>
            </w:pPr>
            <w:r w:rsidRPr="00A32E7D">
              <w:rPr>
                <w:rFonts w:ascii="Times New Roman" w:hAnsi="Times New Roman" w:cs="Times New Roman"/>
                <w:b/>
                <w:bCs/>
              </w:rPr>
              <w:t>year 2012</w:t>
            </w:r>
          </w:p>
        </w:tc>
        <w:tc>
          <w:tcPr>
            <w:tcW w:w="2301" w:type="dxa"/>
            <w:gridSpan w:val="3"/>
          </w:tcPr>
          <w:p w:rsidR="003B10A4" w:rsidRPr="00A32E7D" w:rsidRDefault="003B10A4" w:rsidP="0006728A">
            <w:pPr>
              <w:spacing w:after="0" w:line="240" w:lineRule="auto"/>
              <w:jc w:val="center"/>
              <w:rPr>
                <w:rFonts w:ascii="Times New Roman" w:hAnsi="Times New Roman" w:cs="Times New Roman"/>
                <w:b/>
                <w:bCs/>
              </w:rPr>
            </w:pPr>
            <w:r w:rsidRPr="00A32E7D">
              <w:rPr>
                <w:rFonts w:ascii="Times New Roman" w:hAnsi="Times New Roman" w:cs="Times New Roman"/>
                <w:b/>
                <w:bCs/>
              </w:rPr>
              <w:t>year 2013</w:t>
            </w:r>
          </w:p>
        </w:tc>
        <w:tc>
          <w:tcPr>
            <w:tcW w:w="1460" w:type="dxa"/>
            <w:gridSpan w:val="3"/>
          </w:tcPr>
          <w:p w:rsidR="003B10A4" w:rsidRPr="00A32E7D" w:rsidRDefault="003B10A4" w:rsidP="0006728A">
            <w:pPr>
              <w:spacing w:after="0" w:line="240" w:lineRule="auto"/>
              <w:jc w:val="center"/>
              <w:rPr>
                <w:rFonts w:ascii="Times New Roman" w:hAnsi="Times New Roman" w:cs="Times New Roman"/>
                <w:b/>
                <w:bCs/>
              </w:rPr>
            </w:pPr>
            <w:r w:rsidRPr="00A32E7D">
              <w:rPr>
                <w:rFonts w:ascii="Times New Roman" w:hAnsi="Times New Roman" w:cs="Times New Roman"/>
                <w:b/>
                <w:bCs/>
              </w:rPr>
              <w:t>year 2012</w:t>
            </w:r>
          </w:p>
        </w:tc>
        <w:tc>
          <w:tcPr>
            <w:tcW w:w="1429" w:type="dxa"/>
            <w:gridSpan w:val="3"/>
          </w:tcPr>
          <w:p w:rsidR="003B10A4" w:rsidRPr="00A32E7D" w:rsidRDefault="003B10A4" w:rsidP="0006728A">
            <w:pPr>
              <w:spacing w:after="0" w:line="240" w:lineRule="auto"/>
              <w:jc w:val="center"/>
              <w:rPr>
                <w:rFonts w:ascii="Times New Roman" w:hAnsi="Times New Roman" w:cs="Times New Roman"/>
                <w:b/>
                <w:bCs/>
              </w:rPr>
            </w:pPr>
            <w:r w:rsidRPr="00A32E7D">
              <w:rPr>
                <w:rFonts w:ascii="Times New Roman" w:hAnsi="Times New Roman" w:cs="Times New Roman"/>
                <w:b/>
                <w:bCs/>
              </w:rPr>
              <w:t>year 2013</w:t>
            </w:r>
          </w:p>
        </w:tc>
        <w:tc>
          <w:tcPr>
            <w:tcW w:w="2115" w:type="dxa"/>
            <w:gridSpan w:val="3"/>
          </w:tcPr>
          <w:p w:rsidR="003B10A4" w:rsidRPr="00A32E7D" w:rsidRDefault="003B10A4" w:rsidP="0006728A">
            <w:pPr>
              <w:spacing w:after="0" w:line="240" w:lineRule="auto"/>
              <w:jc w:val="center"/>
              <w:rPr>
                <w:rFonts w:ascii="Times New Roman" w:hAnsi="Times New Roman" w:cs="Times New Roman"/>
                <w:b/>
                <w:bCs/>
              </w:rPr>
            </w:pPr>
            <w:r w:rsidRPr="00A32E7D">
              <w:rPr>
                <w:rFonts w:ascii="Times New Roman" w:hAnsi="Times New Roman" w:cs="Times New Roman"/>
                <w:b/>
                <w:bCs/>
              </w:rPr>
              <w:t>year 2012</w:t>
            </w:r>
          </w:p>
        </w:tc>
        <w:tc>
          <w:tcPr>
            <w:tcW w:w="2219" w:type="dxa"/>
            <w:gridSpan w:val="3"/>
          </w:tcPr>
          <w:p w:rsidR="003B10A4" w:rsidRPr="00A32E7D" w:rsidRDefault="003B10A4" w:rsidP="0006728A">
            <w:pPr>
              <w:spacing w:after="0" w:line="240" w:lineRule="auto"/>
              <w:jc w:val="center"/>
              <w:rPr>
                <w:rFonts w:ascii="Times New Roman" w:hAnsi="Times New Roman" w:cs="Times New Roman"/>
                <w:b/>
                <w:bCs/>
              </w:rPr>
            </w:pPr>
            <w:r w:rsidRPr="00A32E7D">
              <w:rPr>
                <w:rFonts w:ascii="Times New Roman" w:hAnsi="Times New Roman" w:cs="Times New Roman"/>
                <w:b/>
                <w:bCs/>
              </w:rPr>
              <w:t>year 2013</w:t>
            </w:r>
          </w:p>
        </w:tc>
      </w:tr>
      <w:tr w:rsidR="003B10A4" w:rsidRPr="00A32E7D" w:rsidTr="0006728A">
        <w:trPr>
          <w:trHeight w:val="135"/>
        </w:trPr>
        <w:tc>
          <w:tcPr>
            <w:tcW w:w="0" w:type="auto"/>
            <w:vMerge/>
            <w:vAlign w:val="center"/>
          </w:tcPr>
          <w:p w:rsidR="003B10A4" w:rsidRPr="00A32E7D" w:rsidRDefault="003B10A4" w:rsidP="0006728A">
            <w:pPr>
              <w:spacing w:after="0" w:line="240" w:lineRule="auto"/>
              <w:rPr>
                <w:rFonts w:ascii="Times New Roman" w:hAnsi="Times New Roman" w:cs="Times New Roman"/>
                <w:b/>
                <w:bCs/>
              </w:rPr>
            </w:pPr>
          </w:p>
        </w:tc>
        <w:tc>
          <w:tcPr>
            <w:tcW w:w="0" w:type="auto"/>
            <w:gridSpan w:val="2"/>
            <w:vMerge/>
            <w:vAlign w:val="center"/>
          </w:tcPr>
          <w:p w:rsidR="003B10A4" w:rsidRPr="00A32E7D" w:rsidRDefault="003B10A4" w:rsidP="0006728A">
            <w:pPr>
              <w:spacing w:after="0" w:line="240" w:lineRule="auto"/>
              <w:rPr>
                <w:rFonts w:ascii="Times New Roman" w:hAnsi="Times New Roman" w:cs="Times New Roman"/>
                <w:b/>
                <w:bCs/>
              </w:rPr>
            </w:pPr>
          </w:p>
        </w:tc>
        <w:tc>
          <w:tcPr>
            <w:tcW w:w="590" w:type="dxa"/>
          </w:tcPr>
          <w:p w:rsidR="003B10A4" w:rsidRPr="00A32E7D" w:rsidRDefault="003B10A4" w:rsidP="0006728A">
            <w:pPr>
              <w:spacing w:after="0" w:line="240" w:lineRule="auto"/>
              <w:rPr>
                <w:rFonts w:ascii="Times New Roman" w:hAnsi="Times New Roman" w:cs="Times New Roman"/>
                <w:b/>
                <w:bCs/>
                <w:sz w:val="12"/>
                <w:szCs w:val="12"/>
              </w:rPr>
            </w:pPr>
            <w:r w:rsidRPr="00A32E7D">
              <w:rPr>
                <w:rFonts w:ascii="Times New Roman" w:hAnsi="Times New Roman" w:cs="Times New Roman"/>
                <w:b/>
                <w:bCs/>
                <w:sz w:val="12"/>
                <w:szCs w:val="12"/>
              </w:rPr>
              <w:t>Number of cases</w:t>
            </w:r>
          </w:p>
        </w:tc>
        <w:tc>
          <w:tcPr>
            <w:tcW w:w="590" w:type="dxa"/>
          </w:tcPr>
          <w:p w:rsidR="003B10A4" w:rsidRPr="00A32E7D" w:rsidRDefault="003B10A4" w:rsidP="0006728A">
            <w:pPr>
              <w:spacing w:after="0" w:line="240" w:lineRule="auto"/>
              <w:rPr>
                <w:rFonts w:ascii="Times New Roman" w:hAnsi="Times New Roman" w:cs="Times New Roman"/>
                <w:b/>
                <w:bCs/>
                <w:sz w:val="12"/>
                <w:szCs w:val="12"/>
              </w:rPr>
            </w:pPr>
            <w:r w:rsidRPr="00A32E7D">
              <w:rPr>
                <w:rFonts w:ascii="Times New Roman" w:hAnsi="Times New Roman" w:cs="Times New Roman"/>
                <w:b/>
                <w:bCs/>
                <w:sz w:val="12"/>
                <w:szCs w:val="12"/>
              </w:rPr>
              <w:t>Number of persons</w:t>
            </w:r>
          </w:p>
        </w:tc>
        <w:tc>
          <w:tcPr>
            <w:tcW w:w="1121" w:type="dxa"/>
          </w:tcPr>
          <w:p w:rsidR="003B10A4" w:rsidRPr="00A32E7D" w:rsidRDefault="003B10A4" w:rsidP="0006728A">
            <w:pPr>
              <w:spacing w:after="0" w:line="240" w:lineRule="auto"/>
              <w:rPr>
                <w:rFonts w:ascii="Times New Roman" w:hAnsi="Times New Roman" w:cs="Times New Roman"/>
                <w:b/>
                <w:bCs/>
                <w:sz w:val="12"/>
                <w:szCs w:val="12"/>
              </w:rPr>
            </w:pPr>
            <w:r w:rsidRPr="00A32E7D">
              <w:rPr>
                <w:rFonts w:ascii="Times New Roman" w:hAnsi="Times New Roman" w:cs="Times New Roman"/>
                <w:b/>
                <w:bCs/>
                <w:sz w:val="12"/>
                <w:szCs w:val="12"/>
              </w:rPr>
              <w:t>Extent of damage in EUR</w:t>
            </w:r>
          </w:p>
        </w:tc>
        <w:tc>
          <w:tcPr>
            <w:tcW w:w="590" w:type="dxa"/>
          </w:tcPr>
          <w:p w:rsidR="003B10A4" w:rsidRPr="00A32E7D" w:rsidRDefault="003B10A4" w:rsidP="0006728A">
            <w:pPr>
              <w:spacing w:after="0" w:line="240" w:lineRule="auto"/>
              <w:rPr>
                <w:rFonts w:ascii="Times New Roman" w:hAnsi="Times New Roman" w:cs="Times New Roman"/>
                <w:b/>
                <w:bCs/>
                <w:sz w:val="12"/>
                <w:szCs w:val="12"/>
              </w:rPr>
            </w:pPr>
            <w:r w:rsidRPr="00A32E7D">
              <w:rPr>
                <w:rFonts w:ascii="Times New Roman" w:hAnsi="Times New Roman" w:cs="Times New Roman"/>
                <w:b/>
                <w:bCs/>
                <w:sz w:val="12"/>
                <w:szCs w:val="12"/>
              </w:rPr>
              <w:t>Number of cases</w:t>
            </w:r>
          </w:p>
        </w:tc>
        <w:tc>
          <w:tcPr>
            <w:tcW w:w="590" w:type="dxa"/>
          </w:tcPr>
          <w:p w:rsidR="003B10A4" w:rsidRPr="00A32E7D" w:rsidRDefault="003B10A4" w:rsidP="0006728A">
            <w:pPr>
              <w:spacing w:after="0" w:line="240" w:lineRule="auto"/>
              <w:rPr>
                <w:rFonts w:ascii="Times New Roman" w:hAnsi="Times New Roman" w:cs="Times New Roman"/>
                <w:b/>
                <w:bCs/>
                <w:sz w:val="12"/>
                <w:szCs w:val="12"/>
              </w:rPr>
            </w:pPr>
            <w:r w:rsidRPr="00A32E7D">
              <w:rPr>
                <w:rFonts w:ascii="Times New Roman" w:hAnsi="Times New Roman" w:cs="Times New Roman"/>
                <w:b/>
                <w:bCs/>
                <w:sz w:val="12"/>
                <w:szCs w:val="12"/>
              </w:rPr>
              <w:t>Number of persons</w:t>
            </w:r>
          </w:p>
        </w:tc>
        <w:tc>
          <w:tcPr>
            <w:tcW w:w="1121" w:type="dxa"/>
          </w:tcPr>
          <w:p w:rsidR="003B10A4" w:rsidRPr="00A32E7D" w:rsidRDefault="003B10A4" w:rsidP="0006728A">
            <w:pPr>
              <w:spacing w:after="0" w:line="240" w:lineRule="auto"/>
              <w:rPr>
                <w:rFonts w:ascii="Times New Roman" w:hAnsi="Times New Roman" w:cs="Times New Roman"/>
                <w:b/>
                <w:bCs/>
                <w:sz w:val="12"/>
                <w:szCs w:val="12"/>
              </w:rPr>
            </w:pPr>
            <w:r w:rsidRPr="00A32E7D">
              <w:rPr>
                <w:rFonts w:ascii="Times New Roman" w:hAnsi="Times New Roman" w:cs="Times New Roman"/>
                <w:b/>
                <w:bCs/>
                <w:sz w:val="12"/>
                <w:szCs w:val="12"/>
              </w:rPr>
              <w:t>Extent of damage in EUR</w:t>
            </w:r>
          </w:p>
        </w:tc>
        <w:tc>
          <w:tcPr>
            <w:tcW w:w="759" w:type="dxa"/>
          </w:tcPr>
          <w:p w:rsidR="003B10A4" w:rsidRPr="00A32E7D" w:rsidRDefault="003B10A4" w:rsidP="0006728A">
            <w:pPr>
              <w:spacing w:after="0" w:line="240" w:lineRule="auto"/>
              <w:rPr>
                <w:rFonts w:ascii="Times New Roman" w:hAnsi="Times New Roman" w:cs="Times New Roman"/>
                <w:b/>
                <w:bCs/>
                <w:sz w:val="12"/>
                <w:szCs w:val="12"/>
              </w:rPr>
            </w:pPr>
            <w:r w:rsidRPr="00A32E7D">
              <w:rPr>
                <w:rFonts w:ascii="Times New Roman" w:hAnsi="Times New Roman" w:cs="Times New Roman"/>
                <w:b/>
                <w:bCs/>
                <w:sz w:val="12"/>
                <w:szCs w:val="12"/>
              </w:rPr>
              <w:t>Number of cases</w:t>
            </w:r>
          </w:p>
        </w:tc>
        <w:tc>
          <w:tcPr>
            <w:tcW w:w="701" w:type="dxa"/>
            <w:gridSpan w:val="2"/>
          </w:tcPr>
          <w:p w:rsidR="003B10A4" w:rsidRPr="00A32E7D" w:rsidRDefault="003B10A4" w:rsidP="0006728A">
            <w:pPr>
              <w:spacing w:after="0" w:line="240" w:lineRule="auto"/>
              <w:rPr>
                <w:rFonts w:ascii="Times New Roman" w:hAnsi="Times New Roman" w:cs="Times New Roman"/>
                <w:b/>
                <w:bCs/>
                <w:sz w:val="12"/>
                <w:szCs w:val="12"/>
              </w:rPr>
            </w:pPr>
            <w:r w:rsidRPr="00A32E7D">
              <w:rPr>
                <w:rFonts w:ascii="Times New Roman" w:hAnsi="Times New Roman" w:cs="Times New Roman"/>
                <w:b/>
                <w:bCs/>
                <w:sz w:val="12"/>
                <w:szCs w:val="12"/>
              </w:rPr>
              <w:t>Number of persons</w:t>
            </w:r>
          </w:p>
        </w:tc>
        <w:tc>
          <w:tcPr>
            <w:tcW w:w="759" w:type="dxa"/>
          </w:tcPr>
          <w:p w:rsidR="003B10A4" w:rsidRPr="00A32E7D" w:rsidRDefault="003B10A4" w:rsidP="0006728A">
            <w:pPr>
              <w:spacing w:after="0" w:line="240" w:lineRule="auto"/>
              <w:rPr>
                <w:rFonts w:ascii="Times New Roman" w:hAnsi="Times New Roman" w:cs="Times New Roman"/>
                <w:b/>
                <w:bCs/>
                <w:sz w:val="12"/>
                <w:szCs w:val="12"/>
              </w:rPr>
            </w:pPr>
            <w:r w:rsidRPr="00A32E7D">
              <w:rPr>
                <w:rFonts w:ascii="Times New Roman" w:hAnsi="Times New Roman" w:cs="Times New Roman"/>
                <w:b/>
                <w:bCs/>
                <w:sz w:val="12"/>
                <w:szCs w:val="12"/>
              </w:rPr>
              <w:t>Number of cases</w:t>
            </w:r>
          </w:p>
        </w:tc>
        <w:tc>
          <w:tcPr>
            <w:tcW w:w="670" w:type="dxa"/>
            <w:gridSpan w:val="2"/>
          </w:tcPr>
          <w:p w:rsidR="003B10A4" w:rsidRPr="00A32E7D" w:rsidRDefault="003B10A4" w:rsidP="0006728A">
            <w:pPr>
              <w:spacing w:after="0" w:line="240" w:lineRule="auto"/>
              <w:rPr>
                <w:rFonts w:ascii="Times New Roman" w:hAnsi="Times New Roman" w:cs="Times New Roman"/>
                <w:b/>
                <w:bCs/>
                <w:sz w:val="12"/>
                <w:szCs w:val="12"/>
              </w:rPr>
            </w:pPr>
            <w:r w:rsidRPr="00A32E7D">
              <w:rPr>
                <w:rFonts w:ascii="Times New Roman" w:hAnsi="Times New Roman" w:cs="Times New Roman"/>
                <w:b/>
                <w:bCs/>
                <w:sz w:val="12"/>
                <w:szCs w:val="12"/>
              </w:rPr>
              <w:t>Number of persons</w:t>
            </w:r>
          </w:p>
        </w:tc>
        <w:tc>
          <w:tcPr>
            <w:tcW w:w="759" w:type="dxa"/>
          </w:tcPr>
          <w:p w:rsidR="003B10A4" w:rsidRPr="00A32E7D" w:rsidRDefault="003B10A4" w:rsidP="0006728A">
            <w:pPr>
              <w:spacing w:after="0" w:line="240" w:lineRule="auto"/>
              <w:rPr>
                <w:rFonts w:ascii="Times New Roman" w:hAnsi="Times New Roman" w:cs="Times New Roman"/>
                <w:b/>
                <w:bCs/>
                <w:sz w:val="12"/>
                <w:szCs w:val="12"/>
              </w:rPr>
            </w:pPr>
            <w:r w:rsidRPr="00A32E7D">
              <w:rPr>
                <w:rFonts w:ascii="Times New Roman" w:hAnsi="Times New Roman" w:cs="Times New Roman"/>
                <w:b/>
                <w:bCs/>
                <w:sz w:val="12"/>
                <w:szCs w:val="12"/>
              </w:rPr>
              <w:t>Number of cases</w:t>
            </w:r>
          </w:p>
        </w:tc>
        <w:tc>
          <w:tcPr>
            <w:tcW w:w="590" w:type="dxa"/>
          </w:tcPr>
          <w:p w:rsidR="003B10A4" w:rsidRPr="00A32E7D" w:rsidRDefault="003B10A4" w:rsidP="0006728A">
            <w:pPr>
              <w:spacing w:after="0" w:line="240" w:lineRule="auto"/>
              <w:rPr>
                <w:rFonts w:ascii="Times New Roman" w:hAnsi="Times New Roman" w:cs="Times New Roman"/>
                <w:b/>
                <w:bCs/>
                <w:sz w:val="12"/>
                <w:szCs w:val="12"/>
              </w:rPr>
            </w:pPr>
            <w:r w:rsidRPr="00A32E7D">
              <w:rPr>
                <w:rFonts w:ascii="Times New Roman" w:hAnsi="Times New Roman" w:cs="Times New Roman"/>
                <w:b/>
                <w:bCs/>
                <w:sz w:val="12"/>
                <w:szCs w:val="12"/>
              </w:rPr>
              <w:t>Number of persons</w:t>
            </w:r>
          </w:p>
        </w:tc>
        <w:tc>
          <w:tcPr>
            <w:tcW w:w="766" w:type="dxa"/>
          </w:tcPr>
          <w:p w:rsidR="003B10A4" w:rsidRPr="00A32E7D" w:rsidRDefault="003B10A4" w:rsidP="0006728A">
            <w:pPr>
              <w:spacing w:after="0" w:line="240" w:lineRule="auto"/>
              <w:rPr>
                <w:rFonts w:ascii="Times New Roman" w:hAnsi="Times New Roman" w:cs="Times New Roman"/>
                <w:b/>
                <w:bCs/>
                <w:sz w:val="12"/>
                <w:szCs w:val="12"/>
              </w:rPr>
            </w:pPr>
            <w:r w:rsidRPr="00A32E7D">
              <w:rPr>
                <w:rFonts w:ascii="Times New Roman" w:hAnsi="Times New Roman" w:cs="Times New Roman"/>
                <w:b/>
                <w:bCs/>
                <w:sz w:val="12"/>
                <w:szCs w:val="12"/>
              </w:rPr>
              <w:t>Extent of damage in EUR</w:t>
            </w:r>
          </w:p>
        </w:tc>
        <w:tc>
          <w:tcPr>
            <w:tcW w:w="759" w:type="dxa"/>
          </w:tcPr>
          <w:p w:rsidR="003B10A4" w:rsidRPr="00A32E7D" w:rsidRDefault="003B10A4" w:rsidP="0006728A">
            <w:pPr>
              <w:spacing w:after="0" w:line="240" w:lineRule="auto"/>
              <w:rPr>
                <w:rFonts w:ascii="Times New Roman" w:hAnsi="Times New Roman" w:cs="Times New Roman"/>
                <w:b/>
                <w:bCs/>
                <w:sz w:val="12"/>
                <w:szCs w:val="12"/>
              </w:rPr>
            </w:pPr>
            <w:r w:rsidRPr="00A32E7D">
              <w:rPr>
                <w:rFonts w:ascii="Times New Roman" w:hAnsi="Times New Roman" w:cs="Times New Roman"/>
                <w:b/>
                <w:bCs/>
                <w:sz w:val="12"/>
                <w:szCs w:val="12"/>
              </w:rPr>
              <w:t>Number of cases</w:t>
            </w:r>
          </w:p>
        </w:tc>
        <w:tc>
          <w:tcPr>
            <w:tcW w:w="590" w:type="dxa"/>
          </w:tcPr>
          <w:p w:rsidR="003B10A4" w:rsidRPr="00A32E7D" w:rsidRDefault="003B10A4" w:rsidP="0006728A">
            <w:pPr>
              <w:spacing w:after="0" w:line="240" w:lineRule="auto"/>
              <w:rPr>
                <w:rFonts w:ascii="Times New Roman" w:hAnsi="Times New Roman" w:cs="Times New Roman"/>
                <w:b/>
                <w:bCs/>
                <w:sz w:val="12"/>
                <w:szCs w:val="12"/>
              </w:rPr>
            </w:pPr>
            <w:r w:rsidRPr="00A32E7D">
              <w:rPr>
                <w:rFonts w:ascii="Times New Roman" w:hAnsi="Times New Roman" w:cs="Times New Roman"/>
                <w:b/>
                <w:bCs/>
                <w:sz w:val="12"/>
                <w:szCs w:val="12"/>
              </w:rPr>
              <w:t>Number of persons</w:t>
            </w:r>
          </w:p>
        </w:tc>
        <w:tc>
          <w:tcPr>
            <w:tcW w:w="870" w:type="dxa"/>
          </w:tcPr>
          <w:p w:rsidR="003B10A4" w:rsidRPr="00A32E7D" w:rsidRDefault="003B10A4" w:rsidP="0006728A">
            <w:pPr>
              <w:spacing w:after="0" w:line="240" w:lineRule="auto"/>
              <w:rPr>
                <w:rFonts w:ascii="Times New Roman" w:hAnsi="Times New Roman" w:cs="Times New Roman"/>
                <w:b/>
                <w:bCs/>
                <w:sz w:val="12"/>
                <w:szCs w:val="12"/>
              </w:rPr>
            </w:pPr>
            <w:r w:rsidRPr="00A32E7D">
              <w:rPr>
                <w:rFonts w:ascii="Times New Roman" w:hAnsi="Times New Roman" w:cs="Times New Roman"/>
                <w:b/>
                <w:bCs/>
                <w:sz w:val="12"/>
                <w:szCs w:val="12"/>
              </w:rPr>
              <w:t>Extent of damage in EUR</w:t>
            </w:r>
          </w:p>
        </w:tc>
      </w:tr>
      <w:tr w:rsidR="003B10A4" w:rsidRPr="00A32E7D" w:rsidTr="0006728A">
        <w:tc>
          <w:tcPr>
            <w:tcW w:w="560" w:type="dxa"/>
          </w:tcPr>
          <w:p w:rsidR="003B10A4" w:rsidRPr="00A32E7D" w:rsidRDefault="003B10A4" w:rsidP="0006728A">
            <w:pPr>
              <w:spacing w:after="0" w:line="240" w:lineRule="auto"/>
              <w:rPr>
                <w:rFonts w:ascii="Times New Roman" w:hAnsi="Times New Roman" w:cs="Times New Roman"/>
              </w:rPr>
            </w:pPr>
            <w:r w:rsidRPr="00A32E7D">
              <w:rPr>
                <w:rFonts w:ascii="Times New Roman" w:hAnsi="Times New Roman" w:cs="Times New Roman"/>
              </w:rPr>
              <w:t>1.</w:t>
            </w:r>
          </w:p>
        </w:tc>
        <w:tc>
          <w:tcPr>
            <w:tcW w:w="1833" w:type="dxa"/>
            <w:gridSpan w:val="2"/>
            <w:vAlign w:val="center"/>
          </w:tcPr>
          <w:p w:rsidR="003B10A4" w:rsidRPr="00A32E7D" w:rsidRDefault="003B10A4" w:rsidP="0006728A">
            <w:pPr>
              <w:spacing w:after="0" w:line="240" w:lineRule="auto"/>
              <w:rPr>
                <w:rFonts w:ascii="Times New Roman" w:hAnsi="Times New Roman" w:cs="Times New Roman"/>
                <w:sz w:val="18"/>
                <w:szCs w:val="18"/>
              </w:rPr>
            </w:pPr>
            <w:r w:rsidRPr="00A32E7D">
              <w:rPr>
                <w:rFonts w:ascii="Times New Roman" w:hAnsi="Times New Roman" w:cs="Times New Roman"/>
                <w:sz w:val="18"/>
                <w:szCs w:val="18"/>
              </w:rPr>
              <w:t>Inducement for criminal prosecution</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83</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61</w:t>
            </w:r>
          </w:p>
        </w:tc>
        <w:tc>
          <w:tcPr>
            <w:tcW w:w="1121"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2.096.290</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65</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48</w:t>
            </w:r>
          </w:p>
        </w:tc>
        <w:tc>
          <w:tcPr>
            <w:tcW w:w="1121"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6.054.246</w:t>
            </w:r>
          </w:p>
        </w:tc>
        <w:tc>
          <w:tcPr>
            <w:tcW w:w="759"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01" w:type="dxa"/>
            <w:gridSpan w:val="2"/>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670" w:type="dxa"/>
            <w:gridSpan w:val="2"/>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66"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87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r>
      <w:tr w:rsidR="003B10A4" w:rsidRPr="00A32E7D" w:rsidTr="0006728A">
        <w:tc>
          <w:tcPr>
            <w:tcW w:w="560" w:type="dxa"/>
          </w:tcPr>
          <w:p w:rsidR="003B10A4" w:rsidRPr="00A32E7D" w:rsidRDefault="003B10A4" w:rsidP="0006728A">
            <w:pPr>
              <w:spacing w:after="0" w:line="240" w:lineRule="auto"/>
              <w:rPr>
                <w:rFonts w:ascii="Times New Roman" w:hAnsi="Times New Roman" w:cs="Times New Roman"/>
              </w:rPr>
            </w:pPr>
            <w:r w:rsidRPr="00A32E7D">
              <w:rPr>
                <w:rFonts w:ascii="Times New Roman" w:hAnsi="Times New Roman" w:cs="Times New Roman"/>
              </w:rPr>
              <w:t>2.</w:t>
            </w:r>
          </w:p>
        </w:tc>
        <w:tc>
          <w:tcPr>
            <w:tcW w:w="1833" w:type="dxa"/>
            <w:gridSpan w:val="2"/>
            <w:vAlign w:val="center"/>
          </w:tcPr>
          <w:p w:rsidR="003B10A4" w:rsidRPr="00A32E7D" w:rsidRDefault="003B10A4" w:rsidP="0006728A">
            <w:pPr>
              <w:spacing w:after="0" w:line="240" w:lineRule="auto"/>
              <w:rPr>
                <w:rFonts w:ascii="Times New Roman" w:hAnsi="Times New Roman" w:cs="Times New Roman"/>
                <w:sz w:val="18"/>
                <w:szCs w:val="18"/>
              </w:rPr>
            </w:pPr>
            <w:r w:rsidRPr="00A32E7D">
              <w:rPr>
                <w:rFonts w:ascii="Times New Roman" w:hAnsi="Times New Roman" w:cs="Times New Roman"/>
                <w:sz w:val="18"/>
                <w:szCs w:val="18"/>
              </w:rPr>
              <w:t>Section 199 Commencement of criminal prosecution</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133</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w:t>
            </w:r>
          </w:p>
        </w:tc>
        <w:tc>
          <w:tcPr>
            <w:tcW w:w="1121"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27.152.664</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97</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w:t>
            </w:r>
          </w:p>
        </w:tc>
        <w:tc>
          <w:tcPr>
            <w:tcW w:w="1121"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11.538.015</w:t>
            </w:r>
          </w:p>
        </w:tc>
        <w:tc>
          <w:tcPr>
            <w:tcW w:w="759"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01" w:type="dxa"/>
            <w:gridSpan w:val="2"/>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670" w:type="dxa"/>
            <w:gridSpan w:val="2"/>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66"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87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r>
      <w:tr w:rsidR="003B10A4" w:rsidRPr="00A32E7D" w:rsidTr="0006728A">
        <w:tc>
          <w:tcPr>
            <w:tcW w:w="560" w:type="dxa"/>
          </w:tcPr>
          <w:p w:rsidR="003B10A4" w:rsidRPr="00A32E7D" w:rsidRDefault="003B10A4" w:rsidP="0006728A">
            <w:pPr>
              <w:spacing w:after="0" w:line="240" w:lineRule="auto"/>
              <w:rPr>
                <w:rFonts w:ascii="Times New Roman" w:hAnsi="Times New Roman" w:cs="Times New Roman"/>
              </w:rPr>
            </w:pPr>
            <w:r w:rsidRPr="00A32E7D">
              <w:rPr>
                <w:rFonts w:ascii="Times New Roman" w:hAnsi="Times New Roman" w:cs="Times New Roman"/>
              </w:rPr>
              <w:t>3.</w:t>
            </w:r>
          </w:p>
        </w:tc>
        <w:tc>
          <w:tcPr>
            <w:tcW w:w="1833" w:type="dxa"/>
            <w:gridSpan w:val="2"/>
            <w:vAlign w:val="center"/>
          </w:tcPr>
          <w:p w:rsidR="003B10A4" w:rsidRPr="00A32E7D" w:rsidRDefault="003B10A4" w:rsidP="0006728A">
            <w:pPr>
              <w:spacing w:after="0" w:line="240" w:lineRule="auto"/>
              <w:rPr>
                <w:rFonts w:ascii="Times New Roman" w:hAnsi="Times New Roman" w:cs="Times New Roman"/>
                <w:sz w:val="18"/>
                <w:szCs w:val="18"/>
              </w:rPr>
            </w:pPr>
            <w:r w:rsidRPr="00A32E7D">
              <w:rPr>
                <w:rFonts w:ascii="Times New Roman" w:hAnsi="Times New Roman" w:cs="Times New Roman"/>
                <w:sz w:val="18"/>
                <w:szCs w:val="18"/>
              </w:rPr>
              <w:t>Section 206 File charges</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18</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33</w:t>
            </w:r>
          </w:p>
        </w:tc>
        <w:tc>
          <w:tcPr>
            <w:tcW w:w="1121"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6.574.252</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35</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35</w:t>
            </w:r>
          </w:p>
        </w:tc>
        <w:tc>
          <w:tcPr>
            <w:tcW w:w="1121"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816.656</w:t>
            </w:r>
          </w:p>
        </w:tc>
        <w:tc>
          <w:tcPr>
            <w:tcW w:w="759"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01" w:type="dxa"/>
            <w:gridSpan w:val="2"/>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670" w:type="dxa"/>
            <w:gridSpan w:val="2"/>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66"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87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r>
      <w:tr w:rsidR="003B10A4" w:rsidRPr="00A32E7D" w:rsidTr="0006728A">
        <w:tc>
          <w:tcPr>
            <w:tcW w:w="560" w:type="dxa"/>
          </w:tcPr>
          <w:p w:rsidR="003B10A4" w:rsidRPr="00A32E7D" w:rsidRDefault="003B10A4" w:rsidP="0006728A">
            <w:pPr>
              <w:spacing w:after="0" w:line="240" w:lineRule="auto"/>
              <w:rPr>
                <w:rFonts w:ascii="Times New Roman" w:hAnsi="Times New Roman" w:cs="Times New Roman"/>
              </w:rPr>
            </w:pPr>
            <w:r w:rsidRPr="00A32E7D">
              <w:rPr>
                <w:rFonts w:ascii="Times New Roman" w:hAnsi="Times New Roman" w:cs="Times New Roman"/>
              </w:rPr>
              <w:t>4.</w:t>
            </w:r>
          </w:p>
        </w:tc>
        <w:tc>
          <w:tcPr>
            <w:tcW w:w="1833" w:type="dxa"/>
            <w:gridSpan w:val="2"/>
            <w:vAlign w:val="center"/>
          </w:tcPr>
          <w:p w:rsidR="003B10A4" w:rsidRPr="00A32E7D" w:rsidRDefault="003B10A4" w:rsidP="0006728A">
            <w:pPr>
              <w:spacing w:after="0" w:line="240" w:lineRule="auto"/>
              <w:rPr>
                <w:rFonts w:ascii="Times New Roman" w:hAnsi="Times New Roman" w:cs="Times New Roman"/>
                <w:sz w:val="18"/>
                <w:szCs w:val="18"/>
              </w:rPr>
            </w:pPr>
            <w:r w:rsidRPr="00A32E7D">
              <w:rPr>
                <w:rFonts w:ascii="Times New Roman" w:hAnsi="Times New Roman" w:cs="Times New Roman"/>
                <w:sz w:val="18"/>
                <w:szCs w:val="18"/>
              </w:rPr>
              <w:t>Section 209 Completion of investigation and of summary investigation with the proposal to charge</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7</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9</w:t>
            </w:r>
          </w:p>
        </w:tc>
        <w:tc>
          <w:tcPr>
            <w:tcW w:w="1121"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171.259</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17</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32</w:t>
            </w:r>
          </w:p>
        </w:tc>
        <w:tc>
          <w:tcPr>
            <w:tcW w:w="1121"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3.047.526</w:t>
            </w:r>
          </w:p>
        </w:tc>
        <w:tc>
          <w:tcPr>
            <w:tcW w:w="759"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01" w:type="dxa"/>
            <w:gridSpan w:val="2"/>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670" w:type="dxa"/>
            <w:gridSpan w:val="2"/>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66"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87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r>
      <w:tr w:rsidR="003B10A4" w:rsidRPr="00A32E7D" w:rsidTr="0006728A">
        <w:tc>
          <w:tcPr>
            <w:tcW w:w="560" w:type="dxa"/>
          </w:tcPr>
          <w:p w:rsidR="003B10A4" w:rsidRPr="00A32E7D" w:rsidRDefault="003B10A4" w:rsidP="0006728A">
            <w:pPr>
              <w:spacing w:after="0" w:line="240" w:lineRule="auto"/>
              <w:rPr>
                <w:rFonts w:ascii="Times New Roman" w:hAnsi="Times New Roman" w:cs="Times New Roman"/>
              </w:rPr>
            </w:pPr>
            <w:r w:rsidRPr="00A32E7D">
              <w:rPr>
                <w:rFonts w:ascii="Times New Roman" w:hAnsi="Times New Roman" w:cs="Times New Roman"/>
              </w:rPr>
              <w:t>5.</w:t>
            </w:r>
          </w:p>
        </w:tc>
        <w:tc>
          <w:tcPr>
            <w:tcW w:w="1833" w:type="dxa"/>
            <w:gridSpan w:val="2"/>
            <w:vAlign w:val="center"/>
          </w:tcPr>
          <w:p w:rsidR="003B10A4" w:rsidRPr="00A32E7D" w:rsidRDefault="003B10A4" w:rsidP="0006728A">
            <w:pPr>
              <w:spacing w:after="0" w:line="240" w:lineRule="auto"/>
              <w:rPr>
                <w:rFonts w:ascii="Times New Roman" w:hAnsi="Times New Roman" w:cs="Times New Roman"/>
                <w:sz w:val="18"/>
                <w:szCs w:val="18"/>
              </w:rPr>
            </w:pPr>
            <w:r w:rsidRPr="00A32E7D">
              <w:rPr>
                <w:rFonts w:ascii="Times New Roman" w:hAnsi="Times New Roman" w:cs="Times New Roman"/>
                <w:sz w:val="18"/>
                <w:szCs w:val="18"/>
              </w:rPr>
              <w:t>Section 215 Stay of criminal prosecution</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4</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2</w:t>
            </w:r>
          </w:p>
        </w:tc>
        <w:tc>
          <w:tcPr>
            <w:tcW w:w="1121"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110.770</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8</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2</w:t>
            </w:r>
          </w:p>
        </w:tc>
        <w:tc>
          <w:tcPr>
            <w:tcW w:w="1121"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26.604</w:t>
            </w:r>
          </w:p>
        </w:tc>
        <w:tc>
          <w:tcPr>
            <w:tcW w:w="759"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01" w:type="dxa"/>
            <w:gridSpan w:val="2"/>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670" w:type="dxa"/>
            <w:gridSpan w:val="2"/>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66"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87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r>
      <w:tr w:rsidR="003B10A4" w:rsidRPr="00A32E7D" w:rsidTr="0006728A">
        <w:tc>
          <w:tcPr>
            <w:tcW w:w="560" w:type="dxa"/>
          </w:tcPr>
          <w:p w:rsidR="003B10A4" w:rsidRPr="00A32E7D" w:rsidRDefault="003B10A4" w:rsidP="0006728A">
            <w:pPr>
              <w:spacing w:after="0" w:line="240" w:lineRule="auto"/>
              <w:rPr>
                <w:rFonts w:ascii="Times New Roman" w:hAnsi="Times New Roman" w:cs="Times New Roman"/>
              </w:rPr>
            </w:pPr>
            <w:r w:rsidRPr="00A32E7D">
              <w:rPr>
                <w:rFonts w:ascii="Times New Roman" w:hAnsi="Times New Roman" w:cs="Times New Roman"/>
              </w:rPr>
              <w:t>6.</w:t>
            </w:r>
          </w:p>
        </w:tc>
        <w:tc>
          <w:tcPr>
            <w:tcW w:w="1833" w:type="dxa"/>
            <w:gridSpan w:val="2"/>
            <w:vAlign w:val="center"/>
          </w:tcPr>
          <w:p w:rsidR="003B10A4" w:rsidRPr="00A32E7D" w:rsidRDefault="003B10A4" w:rsidP="0006728A">
            <w:pPr>
              <w:spacing w:after="0" w:line="240" w:lineRule="auto"/>
              <w:rPr>
                <w:rFonts w:ascii="Times New Roman" w:hAnsi="Times New Roman" w:cs="Times New Roman"/>
                <w:sz w:val="18"/>
                <w:szCs w:val="18"/>
              </w:rPr>
            </w:pPr>
            <w:r w:rsidRPr="00A32E7D">
              <w:rPr>
                <w:rFonts w:ascii="Times New Roman" w:hAnsi="Times New Roman" w:cs="Times New Roman"/>
                <w:sz w:val="18"/>
                <w:szCs w:val="18"/>
              </w:rPr>
              <w:t>Section 228 paragraph 5 Resumption of criminal prosecution</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27</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6</w:t>
            </w:r>
          </w:p>
        </w:tc>
        <w:tc>
          <w:tcPr>
            <w:tcW w:w="1121"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546.114</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47</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11</w:t>
            </w:r>
          </w:p>
        </w:tc>
        <w:tc>
          <w:tcPr>
            <w:tcW w:w="1121"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914.594</w:t>
            </w:r>
          </w:p>
        </w:tc>
        <w:tc>
          <w:tcPr>
            <w:tcW w:w="759"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01" w:type="dxa"/>
            <w:gridSpan w:val="2"/>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670" w:type="dxa"/>
            <w:gridSpan w:val="2"/>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66"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87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r>
      <w:tr w:rsidR="003B10A4" w:rsidRPr="00A32E7D" w:rsidTr="0006728A">
        <w:tc>
          <w:tcPr>
            <w:tcW w:w="560" w:type="dxa"/>
          </w:tcPr>
          <w:p w:rsidR="003B10A4" w:rsidRPr="00A32E7D" w:rsidRDefault="003B10A4" w:rsidP="0006728A">
            <w:pPr>
              <w:spacing w:after="0" w:line="240" w:lineRule="auto"/>
              <w:rPr>
                <w:rFonts w:ascii="Times New Roman" w:hAnsi="Times New Roman" w:cs="Times New Roman"/>
              </w:rPr>
            </w:pPr>
            <w:r w:rsidRPr="00A32E7D">
              <w:rPr>
                <w:rFonts w:ascii="Times New Roman" w:hAnsi="Times New Roman" w:cs="Times New Roman"/>
              </w:rPr>
              <w:t>7.</w:t>
            </w:r>
          </w:p>
        </w:tc>
        <w:tc>
          <w:tcPr>
            <w:tcW w:w="1833" w:type="dxa"/>
            <w:gridSpan w:val="2"/>
            <w:vAlign w:val="center"/>
          </w:tcPr>
          <w:p w:rsidR="003B10A4" w:rsidRPr="00A32E7D" w:rsidRDefault="003B10A4" w:rsidP="0006728A">
            <w:pPr>
              <w:spacing w:after="0" w:line="240" w:lineRule="auto"/>
              <w:rPr>
                <w:rFonts w:ascii="Times New Roman" w:hAnsi="Times New Roman" w:cs="Times New Roman"/>
                <w:sz w:val="18"/>
                <w:szCs w:val="18"/>
              </w:rPr>
            </w:pPr>
            <w:r w:rsidRPr="00A32E7D">
              <w:rPr>
                <w:rFonts w:ascii="Times New Roman" w:hAnsi="Times New Roman" w:cs="Times New Roman"/>
                <w:sz w:val="18"/>
                <w:szCs w:val="18"/>
              </w:rPr>
              <w:t xml:space="preserve">Section 228 paragraph 5 Resumption of criminal prosecution </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5</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3</w:t>
            </w:r>
          </w:p>
        </w:tc>
        <w:tc>
          <w:tcPr>
            <w:tcW w:w="1121"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68.650</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21</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5</w:t>
            </w:r>
          </w:p>
        </w:tc>
        <w:tc>
          <w:tcPr>
            <w:tcW w:w="1121"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w:t>
            </w:r>
          </w:p>
        </w:tc>
        <w:tc>
          <w:tcPr>
            <w:tcW w:w="759"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01" w:type="dxa"/>
            <w:gridSpan w:val="2"/>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670" w:type="dxa"/>
            <w:gridSpan w:val="2"/>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66"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87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r>
      <w:tr w:rsidR="003B10A4" w:rsidRPr="00A32E7D" w:rsidTr="0006728A">
        <w:tc>
          <w:tcPr>
            <w:tcW w:w="560" w:type="dxa"/>
          </w:tcPr>
          <w:p w:rsidR="003B10A4" w:rsidRPr="00A32E7D" w:rsidRDefault="003B10A4" w:rsidP="0006728A">
            <w:pPr>
              <w:spacing w:after="0" w:line="240" w:lineRule="auto"/>
              <w:rPr>
                <w:rFonts w:ascii="Times New Roman" w:hAnsi="Times New Roman" w:cs="Times New Roman"/>
              </w:rPr>
            </w:pPr>
            <w:r w:rsidRPr="00A32E7D">
              <w:rPr>
                <w:rFonts w:ascii="Times New Roman" w:hAnsi="Times New Roman" w:cs="Times New Roman"/>
              </w:rPr>
              <w:t>8.</w:t>
            </w:r>
          </w:p>
        </w:tc>
        <w:tc>
          <w:tcPr>
            <w:tcW w:w="983" w:type="dxa"/>
            <w:vAlign w:val="center"/>
          </w:tcPr>
          <w:p w:rsidR="003B10A4" w:rsidRPr="00A32E7D" w:rsidRDefault="003B10A4" w:rsidP="0006728A">
            <w:pPr>
              <w:spacing w:after="0" w:line="240" w:lineRule="auto"/>
              <w:rPr>
                <w:rFonts w:ascii="Times New Roman" w:hAnsi="Times New Roman" w:cs="Times New Roman"/>
                <w:sz w:val="18"/>
                <w:szCs w:val="18"/>
              </w:rPr>
            </w:pPr>
            <w:r w:rsidRPr="00A32E7D">
              <w:rPr>
                <w:rFonts w:ascii="Times New Roman" w:hAnsi="Times New Roman" w:cs="Times New Roman"/>
                <w:sz w:val="18"/>
                <w:szCs w:val="18"/>
              </w:rPr>
              <w:t xml:space="preserve">Section 234 Indictment </w:t>
            </w:r>
          </w:p>
        </w:tc>
        <w:tc>
          <w:tcPr>
            <w:tcW w:w="850" w:type="dxa"/>
            <w:vAlign w:val="center"/>
          </w:tcPr>
          <w:p w:rsidR="003B10A4" w:rsidRPr="00A32E7D" w:rsidRDefault="003B10A4" w:rsidP="0006728A">
            <w:pPr>
              <w:spacing w:after="0" w:line="240" w:lineRule="auto"/>
              <w:rPr>
                <w:rFonts w:ascii="Times New Roman" w:hAnsi="Times New Roman" w:cs="Times New Roman"/>
                <w:sz w:val="18"/>
                <w:szCs w:val="18"/>
              </w:rPr>
            </w:pPr>
            <w:r w:rsidRPr="00A32E7D">
              <w:rPr>
                <w:rFonts w:ascii="Times New Roman" w:hAnsi="Times New Roman" w:cs="Times New Roman"/>
                <w:sz w:val="18"/>
                <w:szCs w:val="18"/>
              </w:rPr>
              <w:t>Section 331 Agreement on guilt and punishment</w:t>
            </w:r>
          </w:p>
        </w:tc>
        <w:tc>
          <w:tcPr>
            <w:tcW w:w="59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1121"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1121" w:type="dxa"/>
          </w:tcPr>
          <w:p w:rsidR="003B10A4" w:rsidRPr="00A32E7D" w:rsidRDefault="003B10A4" w:rsidP="0006728A">
            <w:pPr>
              <w:spacing w:after="0" w:line="240" w:lineRule="auto"/>
              <w:rPr>
                <w:rFonts w:ascii="Times New Roman" w:hAnsi="Times New Roman" w:cs="Times New Roman"/>
                <w:sz w:val="20"/>
                <w:szCs w:val="20"/>
              </w:rPr>
            </w:pPr>
          </w:p>
        </w:tc>
        <w:tc>
          <w:tcPr>
            <w:tcW w:w="759"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w:t>
            </w:r>
          </w:p>
        </w:tc>
        <w:tc>
          <w:tcPr>
            <w:tcW w:w="417"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15</w:t>
            </w:r>
          </w:p>
        </w:tc>
        <w:tc>
          <w:tcPr>
            <w:tcW w:w="284"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6</w:t>
            </w:r>
          </w:p>
        </w:tc>
        <w:tc>
          <w:tcPr>
            <w:tcW w:w="759" w:type="dxa"/>
          </w:tcPr>
          <w:p w:rsidR="003B10A4" w:rsidRPr="00A32E7D" w:rsidRDefault="003B10A4" w:rsidP="0006728A">
            <w:pPr>
              <w:spacing w:after="0" w:line="240" w:lineRule="auto"/>
            </w:pPr>
            <w:r w:rsidRPr="00A32E7D">
              <w:t>-</w:t>
            </w:r>
          </w:p>
        </w:tc>
        <w:tc>
          <w:tcPr>
            <w:tcW w:w="364" w:type="dxa"/>
          </w:tcPr>
          <w:p w:rsidR="003B10A4" w:rsidRPr="00A32E7D" w:rsidRDefault="003B10A4" w:rsidP="0006728A">
            <w:pPr>
              <w:spacing w:after="0" w:line="240" w:lineRule="auto"/>
              <w:rPr>
                <w:b/>
                <w:bCs/>
              </w:rPr>
            </w:pPr>
            <w:r w:rsidRPr="00A32E7D">
              <w:rPr>
                <w:rFonts w:ascii="Times New Roman" w:hAnsi="Times New Roman" w:cs="Times New Roman"/>
                <w:b/>
                <w:bCs/>
                <w:sz w:val="20"/>
                <w:szCs w:val="20"/>
              </w:rPr>
              <w:t>35</w:t>
            </w:r>
          </w:p>
        </w:tc>
        <w:tc>
          <w:tcPr>
            <w:tcW w:w="306" w:type="dxa"/>
          </w:tcPr>
          <w:p w:rsidR="003B10A4" w:rsidRPr="00A32E7D" w:rsidRDefault="003B10A4" w:rsidP="0006728A">
            <w:pPr>
              <w:spacing w:after="0" w:line="240" w:lineRule="auto"/>
              <w:rPr>
                <w:b/>
                <w:bCs/>
              </w:rPr>
            </w:pPr>
            <w:r w:rsidRPr="00A32E7D">
              <w:rPr>
                <w:rFonts w:ascii="Times New Roman" w:hAnsi="Times New Roman" w:cs="Times New Roman"/>
                <w:b/>
                <w:bCs/>
                <w:sz w:val="20"/>
                <w:szCs w:val="20"/>
              </w:rPr>
              <w:t>8</w:t>
            </w:r>
          </w:p>
        </w:tc>
        <w:tc>
          <w:tcPr>
            <w:tcW w:w="759"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766" w:type="dxa"/>
          </w:tcPr>
          <w:p w:rsidR="003B10A4" w:rsidRPr="00A32E7D" w:rsidRDefault="003B10A4" w:rsidP="0006728A">
            <w:pPr>
              <w:spacing w:after="0" w:line="240" w:lineRule="auto"/>
              <w:rPr>
                <w:rFonts w:ascii="Times New Roman" w:hAnsi="Times New Roman" w:cs="Times New Roman"/>
                <w:sz w:val="20"/>
                <w:szCs w:val="20"/>
              </w:rPr>
            </w:pPr>
          </w:p>
        </w:tc>
        <w:tc>
          <w:tcPr>
            <w:tcW w:w="759"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c>
          <w:tcPr>
            <w:tcW w:w="870" w:type="dxa"/>
          </w:tcPr>
          <w:p w:rsidR="003B10A4" w:rsidRPr="00A32E7D" w:rsidRDefault="003B10A4" w:rsidP="0006728A">
            <w:pPr>
              <w:spacing w:after="0" w:line="240" w:lineRule="auto"/>
            </w:pPr>
            <w:r w:rsidRPr="00A32E7D">
              <w:rPr>
                <w:rFonts w:ascii="Times New Roman" w:hAnsi="Times New Roman" w:cs="Times New Roman"/>
                <w:sz w:val="20"/>
                <w:szCs w:val="20"/>
              </w:rPr>
              <w:t>-</w:t>
            </w:r>
          </w:p>
        </w:tc>
      </w:tr>
      <w:tr w:rsidR="003B10A4" w:rsidRPr="00A32E7D" w:rsidTr="0006728A">
        <w:tc>
          <w:tcPr>
            <w:tcW w:w="560" w:type="dxa"/>
          </w:tcPr>
          <w:p w:rsidR="003B10A4" w:rsidRPr="00A32E7D" w:rsidRDefault="003B10A4" w:rsidP="0006728A">
            <w:pPr>
              <w:spacing w:after="0" w:line="240" w:lineRule="auto"/>
              <w:rPr>
                <w:rFonts w:ascii="Times New Roman" w:hAnsi="Times New Roman" w:cs="Times New Roman"/>
              </w:rPr>
            </w:pPr>
            <w:r w:rsidRPr="00A32E7D">
              <w:rPr>
                <w:rFonts w:ascii="Times New Roman" w:hAnsi="Times New Roman" w:cs="Times New Roman"/>
              </w:rPr>
              <w:t>9.</w:t>
            </w:r>
          </w:p>
        </w:tc>
        <w:tc>
          <w:tcPr>
            <w:tcW w:w="1833" w:type="dxa"/>
            <w:gridSpan w:val="2"/>
            <w:vAlign w:val="center"/>
          </w:tcPr>
          <w:p w:rsidR="003B10A4" w:rsidRPr="00A32E7D" w:rsidRDefault="003B10A4" w:rsidP="0006728A">
            <w:pPr>
              <w:spacing w:after="0" w:line="240" w:lineRule="auto"/>
              <w:rPr>
                <w:rFonts w:ascii="Times New Roman" w:hAnsi="Times New Roman" w:cs="Times New Roman"/>
                <w:sz w:val="18"/>
                <w:szCs w:val="18"/>
              </w:rPr>
            </w:pPr>
            <w:r w:rsidRPr="00A32E7D">
              <w:rPr>
                <w:rFonts w:ascii="Times New Roman" w:hAnsi="Times New Roman" w:cs="Times New Roman"/>
                <w:sz w:val="18"/>
                <w:szCs w:val="18"/>
              </w:rPr>
              <w:t>Section 284 Final judgement</w:t>
            </w:r>
          </w:p>
        </w:tc>
        <w:tc>
          <w:tcPr>
            <w:tcW w:w="59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1121"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590"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1121"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701" w:type="dxa"/>
            <w:gridSpan w:val="2"/>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670" w:type="dxa"/>
            <w:gridSpan w:val="2"/>
          </w:tcPr>
          <w:p w:rsidR="003B10A4" w:rsidRPr="00A32E7D" w:rsidRDefault="003B10A4" w:rsidP="0006728A">
            <w:pPr>
              <w:spacing w:after="0" w:line="240" w:lineRule="auto"/>
              <w:rPr>
                <w:rFonts w:ascii="Times New Roman" w:hAnsi="Times New Roman" w:cs="Times New Roman"/>
                <w:sz w:val="20"/>
                <w:szCs w:val="20"/>
              </w:rPr>
            </w:pPr>
            <w:r w:rsidRPr="00A32E7D">
              <w:rPr>
                <w:rFonts w:ascii="Times New Roman" w:hAnsi="Times New Roman" w:cs="Times New Roman"/>
                <w:sz w:val="20"/>
                <w:szCs w:val="20"/>
              </w:rPr>
              <w:t>-</w:t>
            </w:r>
          </w:p>
        </w:tc>
        <w:tc>
          <w:tcPr>
            <w:tcW w:w="759"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11</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11</w:t>
            </w:r>
          </w:p>
        </w:tc>
        <w:tc>
          <w:tcPr>
            <w:tcW w:w="766"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352.685</w:t>
            </w:r>
          </w:p>
        </w:tc>
        <w:tc>
          <w:tcPr>
            <w:tcW w:w="759" w:type="dxa"/>
          </w:tcPr>
          <w:p w:rsidR="003B10A4" w:rsidRPr="00A32E7D" w:rsidRDefault="003B10A4" w:rsidP="0006728A">
            <w:pPr>
              <w:spacing w:after="0" w:line="240" w:lineRule="auto"/>
              <w:jc w:val="center"/>
              <w:rPr>
                <w:rFonts w:ascii="Times New Roman" w:hAnsi="Times New Roman" w:cs="Times New Roman"/>
                <w:b/>
                <w:bCs/>
                <w:sz w:val="20"/>
                <w:szCs w:val="20"/>
              </w:rPr>
            </w:pPr>
            <w:r w:rsidRPr="00A32E7D">
              <w:rPr>
                <w:rFonts w:ascii="Times New Roman" w:hAnsi="Times New Roman" w:cs="Times New Roman"/>
                <w:b/>
                <w:bCs/>
                <w:sz w:val="20"/>
                <w:szCs w:val="20"/>
              </w:rPr>
              <w:t>-</w:t>
            </w:r>
          </w:p>
        </w:tc>
        <w:tc>
          <w:tcPr>
            <w:tcW w:w="59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12</w:t>
            </w:r>
          </w:p>
        </w:tc>
        <w:tc>
          <w:tcPr>
            <w:tcW w:w="870" w:type="dxa"/>
          </w:tcPr>
          <w:p w:rsidR="003B10A4" w:rsidRPr="00A32E7D" w:rsidRDefault="003B10A4" w:rsidP="0006728A">
            <w:pPr>
              <w:spacing w:after="0" w:line="240" w:lineRule="auto"/>
              <w:rPr>
                <w:rFonts w:ascii="Times New Roman" w:hAnsi="Times New Roman" w:cs="Times New Roman"/>
                <w:b/>
                <w:bCs/>
                <w:sz w:val="20"/>
                <w:szCs w:val="20"/>
              </w:rPr>
            </w:pPr>
            <w:r w:rsidRPr="00A32E7D">
              <w:rPr>
                <w:rFonts w:ascii="Times New Roman" w:hAnsi="Times New Roman" w:cs="Times New Roman"/>
                <w:b/>
                <w:bCs/>
                <w:sz w:val="20"/>
                <w:szCs w:val="20"/>
              </w:rPr>
              <w:t>41.895</w:t>
            </w:r>
          </w:p>
        </w:tc>
      </w:tr>
    </w:tbl>
    <w:p w:rsidR="003B10A4" w:rsidRDefault="003B10A4" w:rsidP="00F77C8D">
      <w:pPr>
        <w:rPr>
          <w:rFonts w:ascii="Times New Roman" w:hAnsi="Times New Roman" w:cs="Times New Roman"/>
          <w:sz w:val="20"/>
          <w:szCs w:val="20"/>
          <w:lang w:val="en-US"/>
        </w:rPr>
      </w:pPr>
    </w:p>
    <w:p w:rsidR="003B10A4" w:rsidRDefault="003B10A4" w:rsidP="00F77C8D">
      <w:pPr>
        <w:rPr>
          <w:rFonts w:ascii="Times New Roman" w:hAnsi="Times New Roman" w:cs="Times New Roman"/>
          <w:sz w:val="20"/>
          <w:szCs w:val="20"/>
          <w:lang w:val="en-US"/>
        </w:rPr>
      </w:pPr>
    </w:p>
    <w:p w:rsidR="0006728A" w:rsidRDefault="0006728A" w:rsidP="00F77C8D">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06728A" w:rsidRDefault="0006728A" w:rsidP="00F77C8D">
      <w:pPr>
        <w:rPr>
          <w:rFonts w:ascii="Times New Roman" w:hAnsi="Times New Roman" w:cs="Times New Roman"/>
          <w:sz w:val="20"/>
          <w:szCs w:val="20"/>
          <w:lang w:val="en-US"/>
        </w:rPr>
        <w:sectPr w:rsidR="0006728A" w:rsidSect="003B10A4">
          <w:headerReference w:type="first" r:id="rId12"/>
          <w:pgSz w:w="16838" w:h="11906" w:orient="landscape"/>
          <w:pgMar w:top="1417" w:right="1417" w:bottom="1417" w:left="1417" w:header="708" w:footer="708" w:gutter="0"/>
          <w:cols w:space="708"/>
          <w:titlePg/>
          <w:docGrid w:linePitch="360"/>
        </w:sectPr>
      </w:pPr>
    </w:p>
    <w:p w:rsidR="00F77C8D" w:rsidRPr="003B627A" w:rsidRDefault="00F77C8D" w:rsidP="00F77C8D">
      <w:pPr>
        <w:pStyle w:val="Nadpis1"/>
        <w:ind w:firstLine="720"/>
        <w:rPr>
          <w:rFonts w:ascii="Times New Roman" w:hAnsi="Times New Roman" w:cs="Times New Roman"/>
          <w:sz w:val="28"/>
          <w:szCs w:val="28"/>
          <w:lang w:val="en-US"/>
        </w:rPr>
      </w:pPr>
      <w:bookmarkStart w:id="26" w:name="_Toc382129836"/>
      <w:bookmarkStart w:id="27" w:name="_Toc382129998"/>
      <w:bookmarkStart w:id="28" w:name="_Toc382130529"/>
      <w:bookmarkStart w:id="29" w:name="_Toc382141488"/>
      <w:bookmarkStart w:id="30" w:name="_Toc382141685"/>
      <w:r w:rsidRPr="003B627A">
        <w:rPr>
          <w:rFonts w:ascii="Times New Roman" w:hAnsi="Times New Roman" w:cs="Times New Roman"/>
          <w:sz w:val="28"/>
          <w:szCs w:val="28"/>
          <w:lang w:val="en-US"/>
        </w:rPr>
        <w:lastRenderedPageBreak/>
        <w:t xml:space="preserve">3. </w:t>
      </w:r>
      <w:bookmarkEnd w:id="26"/>
      <w:bookmarkEnd w:id="27"/>
      <w:bookmarkEnd w:id="28"/>
      <w:bookmarkEnd w:id="29"/>
      <w:bookmarkEnd w:id="30"/>
      <w:r>
        <w:rPr>
          <w:rFonts w:ascii="Times New Roman" w:hAnsi="Times New Roman" w:cs="Times New Roman"/>
          <w:sz w:val="28"/>
          <w:szCs w:val="28"/>
          <w:lang w:val="en-US"/>
        </w:rPr>
        <w:t>Control activity</w:t>
      </w:r>
    </w:p>
    <w:p w:rsidR="00F77C8D" w:rsidRPr="003B627A" w:rsidRDefault="00F77C8D" w:rsidP="00F77C8D">
      <w:pPr>
        <w:spacing w:after="0"/>
        <w:jc w:val="both"/>
        <w:rPr>
          <w:rFonts w:ascii="Times New Roman" w:hAnsi="Times New Roman" w:cs="Times New Roman"/>
          <w:sz w:val="24"/>
          <w:szCs w:val="24"/>
          <w:lang w:val="en-US"/>
        </w:rPr>
      </w:pPr>
    </w:p>
    <w:p w:rsidR="00F77C8D" w:rsidRPr="003B627A" w:rsidRDefault="00F77C8D" w:rsidP="00F77C8D">
      <w:pPr>
        <w:spacing w:after="100" w:afterAutospacing="1" w:line="240" w:lineRule="auto"/>
        <w:ind w:firstLineChars="295" w:firstLine="708"/>
        <w:jc w:val="both"/>
        <w:rPr>
          <w:rFonts w:ascii="Times New Roman" w:hAnsi="Times New Roman" w:cs="Times New Roman"/>
          <w:sz w:val="24"/>
          <w:szCs w:val="24"/>
          <w:lang w:val="en-US"/>
        </w:rPr>
      </w:pPr>
      <w:r w:rsidRPr="003B627A">
        <w:rPr>
          <w:rFonts w:ascii="Times New Roman" w:hAnsi="Times New Roman" w:cs="Times New Roman"/>
          <w:sz w:val="24"/>
          <w:szCs w:val="24"/>
          <w:lang w:val="en-US"/>
        </w:rPr>
        <w:t xml:space="preserve">Consistent compliance to obligations of obliged entities stipulated by </w:t>
      </w:r>
      <w:r w:rsidR="0090531A">
        <w:rPr>
          <w:rFonts w:ascii="Times New Roman" w:hAnsi="Times New Roman" w:cs="Times New Roman"/>
          <w:sz w:val="24"/>
          <w:szCs w:val="24"/>
        </w:rPr>
        <w:t>AML/CFT Law</w:t>
      </w:r>
      <w:r w:rsidR="0090531A" w:rsidRPr="003B627A">
        <w:rPr>
          <w:rFonts w:ascii="Times New Roman" w:hAnsi="Times New Roman" w:cs="Times New Roman"/>
          <w:sz w:val="24"/>
          <w:szCs w:val="24"/>
          <w:lang w:val="en-US"/>
        </w:rPr>
        <w:t xml:space="preserve"> </w:t>
      </w:r>
      <w:r w:rsidRPr="003B627A">
        <w:rPr>
          <w:rFonts w:ascii="Times New Roman" w:hAnsi="Times New Roman" w:cs="Times New Roman"/>
          <w:sz w:val="24"/>
          <w:szCs w:val="24"/>
          <w:lang w:val="en-US"/>
        </w:rPr>
        <w:t>is indubitably a huge contribution to</w:t>
      </w:r>
      <w:r>
        <w:rPr>
          <w:rFonts w:ascii="Times New Roman" w:hAnsi="Times New Roman" w:cs="Times New Roman"/>
          <w:sz w:val="24"/>
          <w:szCs w:val="24"/>
          <w:lang w:val="en-US"/>
        </w:rPr>
        <w:t xml:space="preserve"> the</w:t>
      </w:r>
      <w:r w:rsidRPr="003B627A">
        <w:rPr>
          <w:rFonts w:ascii="Times New Roman" w:hAnsi="Times New Roman" w:cs="Times New Roman"/>
          <w:sz w:val="24"/>
          <w:szCs w:val="24"/>
          <w:lang w:val="en-US"/>
        </w:rPr>
        <w:t xml:space="preserve"> prevention of legalization of proceeds of criminal activity and terrorist financing and therefor it is essential to </w:t>
      </w:r>
      <w:r>
        <w:rPr>
          <w:rFonts w:ascii="Times New Roman" w:hAnsi="Times New Roman" w:cs="Times New Roman"/>
          <w:sz w:val="24"/>
          <w:szCs w:val="24"/>
          <w:lang w:val="en-US"/>
        </w:rPr>
        <w:t>oversee the</w:t>
      </w:r>
      <w:r w:rsidRPr="003B627A">
        <w:rPr>
          <w:rFonts w:ascii="Times New Roman" w:hAnsi="Times New Roman" w:cs="Times New Roman"/>
          <w:sz w:val="24"/>
          <w:szCs w:val="24"/>
          <w:lang w:val="en-US"/>
        </w:rPr>
        <w:t xml:space="preserve"> compliance to obligations determined by the a.m. </w:t>
      </w:r>
      <w:r w:rsidR="0007463C">
        <w:rPr>
          <w:rFonts w:ascii="Times New Roman" w:hAnsi="Times New Roman" w:cs="Times New Roman"/>
          <w:sz w:val="24"/>
          <w:szCs w:val="24"/>
          <w:lang w:val="en-US"/>
        </w:rPr>
        <w:t>A</w:t>
      </w:r>
      <w:r w:rsidRPr="003B627A">
        <w:rPr>
          <w:rFonts w:ascii="Times New Roman" w:hAnsi="Times New Roman" w:cs="Times New Roman"/>
          <w:sz w:val="24"/>
          <w:szCs w:val="24"/>
          <w:lang w:val="en-US"/>
        </w:rPr>
        <w:t xml:space="preserve">ct. </w:t>
      </w:r>
    </w:p>
    <w:p w:rsidR="00F77C8D" w:rsidRPr="003B627A" w:rsidRDefault="00F77C8D" w:rsidP="00F77C8D">
      <w:pPr>
        <w:spacing w:before="100" w:beforeAutospacing="1" w:after="100" w:afterAutospacing="1" w:line="240" w:lineRule="auto"/>
        <w:ind w:firstLineChars="295" w:firstLine="708"/>
        <w:jc w:val="both"/>
        <w:rPr>
          <w:rFonts w:ascii="Times New Roman" w:hAnsi="Times New Roman" w:cs="Times New Roman"/>
          <w:sz w:val="24"/>
          <w:szCs w:val="24"/>
          <w:lang w:val="en-US"/>
        </w:rPr>
      </w:pPr>
      <w:r w:rsidRPr="003B627A">
        <w:rPr>
          <w:rFonts w:ascii="Times New Roman" w:hAnsi="Times New Roman" w:cs="Times New Roman"/>
          <w:sz w:val="24"/>
          <w:szCs w:val="24"/>
          <w:lang w:val="en-US"/>
        </w:rPr>
        <w:t xml:space="preserve">According to Section 32 and 33 of </w:t>
      </w:r>
      <w:r w:rsidR="0090531A">
        <w:rPr>
          <w:rFonts w:ascii="Times New Roman" w:hAnsi="Times New Roman" w:cs="Times New Roman"/>
          <w:sz w:val="24"/>
          <w:szCs w:val="24"/>
        </w:rPr>
        <w:t>AML/CFT Law</w:t>
      </w:r>
      <w:r w:rsidRPr="003B627A">
        <w:rPr>
          <w:rFonts w:ascii="Times New Roman" w:hAnsi="Times New Roman" w:cs="Times New Roman"/>
          <w:sz w:val="24"/>
          <w:szCs w:val="24"/>
          <w:lang w:val="en-US"/>
        </w:rPr>
        <w:t xml:space="preserve">, </w:t>
      </w:r>
      <w:r>
        <w:rPr>
          <w:rFonts w:ascii="Times New Roman" w:hAnsi="Times New Roman" w:cs="Times New Roman"/>
          <w:sz w:val="24"/>
          <w:szCs w:val="24"/>
          <w:lang w:val="en-US"/>
        </w:rPr>
        <w:t>the oversight</w:t>
      </w:r>
      <w:r w:rsidRPr="003B627A">
        <w:rPr>
          <w:rFonts w:ascii="Times New Roman" w:hAnsi="Times New Roman" w:cs="Times New Roman"/>
          <w:sz w:val="24"/>
          <w:szCs w:val="24"/>
          <w:lang w:val="en-US"/>
        </w:rPr>
        <w:t xml:space="preserve"> of compliance to obligation</w:t>
      </w:r>
      <w:r>
        <w:rPr>
          <w:rFonts w:ascii="Times New Roman" w:hAnsi="Times New Roman" w:cs="Times New Roman"/>
          <w:sz w:val="24"/>
          <w:szCs w:val="24"/>
          <w:lang w:val="en-US"/>
        </w:rPr>
        <w:t>s</w:t>
      </w:r>
      <w:r w:rsidRPr="003B627A">
        <w:rPr>
          <w:rFonts w:ascii="Times New Roman" w:hAnsi="Times New Roman" w:cs="Times New Roman"/>
          <w:sz w:val="24"/>
          <w:szCs w:val="24"/>
          <w:lang w:val="en-US"/>
        </w:rPr>
        <w:t xml:space="preserve"> of obliged entities laid down by Section 5 of this Act, as well as administrative procedure shall be performed by </w:t>
      </w:r>
      <w:r w:rsidR="0007463C">
        <w:rPr>
          <w:rFonts w:ascii="Times New Roman" w:hAnsi="Times New Roman" w:cs="Times New Roman"/>
          <w:sz w:val="24"/>
          <w:szCs w:val="24"/>
          <w:lang w:val="en-US"/>
        </w:rPr>
        <w:t>FSJ</w:t>
      </w:r>
      <w:r w:rsidRPr="003B627A">
        <w:rPr>
          <w:rFonts w:ascii="Times New Roman" w:hAnsi="Times New Roman" w:cs="Times New Roman"/>
          <w:sz w:val="24"/>
          <w:szCs w:val="24"/>
          <w:lang w:val="en-US"/>
        </w:rPr>
        <w:t xml:space="preserve">. Control activity is realized particularly on the basis of an annual plan of controls on the ground of information obtained from other authorities of the police force and on the basis of an analysis. A significant source for compilation of the annual plan </w:t>
      </w:r>
      <w:r>
        <w:rPr>
          <w:rFonts w:ascii="Times New Roman" w:hAnsi="Times New Roman" w:cs="Times New Roman"/>
          <w:sz w:val="24"/>
          <w:szCs w:val="24"/>
          <w:lang w:val="en-US"/>
        </w:rPr>
        <w:t>o</w:t>
      </w:r>
      <w:r w:rsidRPr="003B627A">
        <w:rPr>
          <w:rFonts w:ascii="Times New Roman" w:hAnsi="Times New Roman" w:cs="Times New Roman"/>
          <w:sz w:val="24"/>
          <w:szCs w:val="24"/>
          <w:lang w:val="en-US"/>
        </w:rPr>
        <w:t>f controls is the analysis of data obtained within the reporting duty and from the outcome</w:t>
      </w:r>
      <w:r>
        <w:rPr>
          <w:rFonts w:ascii="Times New Roman" w:hAnsi="Times New Roman" w:cs="Times New Roman"/>
          <w:sz w:val="24"/>
          <w:szCs w:val="24"/>
          <w:lang w:val="en-US"/>
        </w:rPr>
        <w:t xml:space="preserve"> of previous controls</w:t>
      </w:r>
      <w:r w:rsidRPr="003B627A">
        <w:rPr>
          <w:rFonts w:ascii="Times New Roman" w:hAnsi="Times New Roman" w:cs="Times New Roman"/>
          <w:sz w:val="24"/>
          <w:szCs w:val="24"/>
          <w:lang w:val="en-US"/>
        </w:rPr>
        <w:t xml:space="preserve">. </w:t>
      </w:r>
    </w:p>
    <w:p w:rsidR="00F77C8D" w:rsidRPr="003B627A" w:rsidRDefault="00F77C8D" w:rsidP="00F77C8D">
      <w:pPr>
        <w:spacing w:before="100" w:beforeAutospacing="1" w:after="100" w:afterAutospacing="1" w:line="240" w:lineRule="auto"/>
        <w:ind w:firstLineChars="295" w:firstLine="708"/>
        <w:jc w:val="both"/>
        <w:rPr>
          <w:rFonts w:ascii="Times New Roman" w:hAnsi="Times New Roman" w:cs="Times New Roman"/>
          <w:sz w:val="24"/>
          <w:szCs w:val="24"/>
          <w:lang w:val="en-US" w:eastAsia="ar-SA"/>
        </w:rPr>
      </w:pPr>
      <w:r w:rsidRPr="003B627A">
        <w:rPr>
          <w:rFonts w:ascii="Times New Roman" w:hAnsi="Times New Roman" w:cs="Times New Roman"/>
          <w:sz w:val="24"/>
          <w:szCs w:val="24"/>
          <w:lang w:val="en-US" w:eastAsia="ar-SA"/>
        </w:rPr>
        <w:t xml:space="preserve">In the year 2013 the </w:t>
      </w:r>
      <w:r>
        <w:rPr>
          <w:rFonts w:ascii="Times New Roman" w:hAnsi="Times New Roman" w:cs="Times New Roman"/>
          <w:sz w:val="24"/>
          <w:szCs w:val="24"/>
          <w:lang w:val="en-US" w:eastAsia="ar-SA"/>
        </w:rPr>
        <w:t xml:space="preserve">controls </w:t>
      </w:r>
      <w:r w:rsidRPr="003B627A">
        <w:rPr>
          <w:rFonts w:ascii="Times New Roman" w:hAnsi="Times New Roman" w:cs="Times New Roman"/>
          <w:sz w:val="24"/>
          <w:szCs w:val="24"/>
          <w:lang w:val="en-US" w:eastAsia="ar-SA"/>
        </w:rPr>
        <w:t xml:space="preserve">of the obliged entities were aimed at </w:t>
      </w:r>
      <w:r w:rsidRPr="003B627A">
        <w:rPr>
          <w:rFonts w:ascii="Times New Roman" w:hAnsi="Times New Roman" w:cs="Times New Roman"/>
          <w:sz w:val="24"/>
          <w:szCs w:val="24"/>
          <w:lang w:val="en-US"/>
        </w:rPr>
        <w:t xml:space="preserve">compliance to obligations of obliged entities stipulated by </w:t>
      </w:r>
      <w:r w:rsidR="0090531A">
        <w:rPr>
          <w:rFonts w:ascii="Times New Roman" w:hAnsi="Times New Roman" w:cs="Times New Roman"/>
          <w:sz w:val="24"/>
          <w:szCs w:val="24"/>
        </w:rPr>
        <w:t>AML/CFT Law</w:t>
      </w:r>
      <w:r w:rsidRPr="003B627A">
        <w:rPr>
          <w:rFonts w:ascii="Times New Roman" w:hAnsi="Times New Roman" w:cs="Times New Roman"/>
          <w:sz w:val="24"/>
          <w:szCs w:val="24"/>
          <w:lang w:val="en-US"/>
        </w:rPr>
        <w:t>.</w:t>
      </w:r>
    </w:p>
    <w:p w:rsidR="00F77C8D" w:rsidRPr="003B627A" w:rsidRDefault="00F77C8D" w:rsidP="00F77C8D">
      <w:pPr>
        <w:pStyle w:val="Odsekzoznamu"/>
        <w:numPr>
          <w:ilvl w:val="0"/>
          <w:numId w:val="3"/>
        </w:numPr>
        <w:tabs>
          <w:tab w:val="left" w:pos="1134"/>
        </w:tabs>
        <w:suppressAutoHyphens/>
        <w:spacing w:after="0" w:line="240" w:lineRule="auto"/>
        <w:ind w:leftChars="323" w:left="1133" w:hangingChars="176" w:hanging="422"/>
        <w:jc w:val="both"/>
        <w:rPr>
          <w:rFonts w:ascii="Times New Roman" w:hAnsi="Times New Roman" w:cs="Times New Roman"/>
          <w:sz w:val="24"/>
          <w:szCs w:val="24"/>
          <w:lang w:val="en-US" w:eastAsia="ar-SA"/>
        </w:rPr>
      </w:pPr>
      <w:r w:rsidRPr="003B627A">
        <w:rPr>
          <w:rFonts w:ascii="Times New Roman" w:hAnsi="Times New Roman" w:cs="Times New Roman"/>
          <w:sz w:val="24"/>
          <w:szCs w:val="24"/>
          <w:lang w:val="en-US" w:eastAsia="ar-SA"/>
        </w:rPr>
        <w:t>Section 20 – preparation and update of its own progra</w:t>
      </w:r>
      <w:r>
        <w:rPr>
          <w:rFonts w:ascii="Times New Roman" w:hAnsi="Times New Roman" w:cs="Times New Roman"/>
          <w:sz w:val="24"/>
          <w:szCs w:val="24"/>
          <w:lang w:val="en-US" w:eastAsia="ar-SA"/>
        </w:rPr>
        <w:t>m</w:t>
      </w:r>
      <w:r w:rsidRPr="003B627A">
        <w:rPr>
          <w:rFonts w:ascii="Times New Roman" w:hAnsi="Times New Roman" w:cs="Times New Roman"/>
          <w:sz w:val="24"/>
          <w:szCs w:val="24"/>
          <w:lang w:val="en-US" w:eastAsia="ar-SA"/>
        </w:rPr>
        <w:t xml:space="preserve"> aimed at the prevention of legalization and terrorist financing,</w:t>
      </w:r>
    </w:p>
    <w:p w:rsidR="00F77C8D" w:rsidRPr="003B627A" w:rsidRDefault="00F77C8D" w:rsidP="00F77C8D">
      <w:pPr>
        <w:pStyle w:val="Odsekzoznamu"/>
        <w:numPr>
          <w:ilvl w:val="0"/>
          <w:numId w:val="4"/>
        </w:numPr>
        <w:tabs>
          <w:tab w:val="left" w:pos="1134"/>
        </w:tabs>
        <w:suppressAutoHyphens/>
        <w:spacing w:after="0" w:line="240" w:lineRule="auto"/>
        <w:ind w:leftChars="323" w:left="1133" w:hangingChars="176" w:hanging="422"/>
        <w:jc w:val="both"/>
        <w:rPr>
          <w:rFonts w:ascii="Times New Roman" w:hAnsi="Times New Roman" w:cs="Times New Roman"/>
          <w:sz w:val="24"/>
          <w:szCs w:val="24"/>
          <w:lang w:val="en-US" w:eastAsia="ar-SA"/>
        </w:rPr>
      </w:pPr>
      <w:r w:rsidRPr="003B627A">
        <w:rPr>
          <w:rFonts w:ascii="Times New Roman" w:hAnsi="Times New Roman" w:cs="Times New Roman"/>
          <w:sz w:val="24"/>
          <w:szCs w:val="24"/>
          <w:lang w:val="en-US" w:eastAsia="ar-SA"/>
        </w:rPr>
        <w:t>Section 10 - 12 – performing customer due diligence,</w:t>
      </w:r>
    </w:p>
    <w:p w:rsidR="00F77C8D" w:rsidRPr="003B627A" w:rsidRDefault="00F77C8D" w:rsidP="00F77C8D">
      <w:pPr>
        <w:pStyle w:val="Odsekzoznamu"/>
        <w:numPr>
          <w:ilvl w:val="0"/>
          <w:numId w:val="4"/>
        </w:numPr>
        <w:tabs>
          <w:tab w:val="left" w:pos="1134"/>
        </w:tabs>
        <w:suppressAutoHyphens/>
        <w:spacing w:after="0" w:line="240" w:lineRule="auto"/>
        <w:ind w:leftChars="323" w:left="1133" w:hangingChars="176" w:hanging="422"/>
        <w:jc w:val="both"/>
        <w:rPr>
          <w:rFonts w:ascii="Times New Roman" w:hAnsi="Times New Roman" w:cs="Times New Roman"/>
          <w:sz w:val="24"/>
          <w:szCs w:val="24"/>
          <w:lang w:val="en-US" w:eastAsia="ar-SA"/>
        </w:rPr>
      </w:pPr>
      <w:r w:rsidRPr="003B627A">
        <w:rPr>
          <w:rFonts w:ascii="Times New Roman" w:hAnsi="Times New Roman" w:cs="Times New Roman"/>
          <w:sz w:val="24"/>
          <w:szCs w:val="24"/>
          <w:lang w:val="en-US" w:eastAsia="ar-SA"/>
        </w:rPr>
        <w:t>Section 14 - 18 – procedure to be followed after detecting, evaluating, refusal of establishment of a business relationship, postponement and reporting of unusual transactions,</w:t>
      </w:r>
    </w:p>
    <w:p w:rsidR="00F77C8D" w:rsidRPr="003B627A" w:rsidRDefault="00F77C8D" w:rsidP="00F77C8D">
      <w:pPr>
        <w:pStyle w:val="Odsekzoznamu"/>
        <w:numPr>
          <w:ilvl w:val="0"/>
          <w:numId w:val="4"/>
        </w:numPr>
        <w:tabs>
          <w:tab w:val="left" w:pos="1134"/>
        </w:tabs>
        <w:suppressAutoHyphens/>
        <w:spacing w:after="0" w:line="240" w:lineRule="auto"/>
        <w:ind w:leftChars="323" w:left="1133" w:hangingChars="176" w:hanging="422"/>
        <w:jc w:val="both"/>
        <w:rPr>
          <w:rFonts w:ascii="Times New Roman" w:hAnsi="Times New Roman" w:cs="Times New Roman"/>
          <w:sz w:val="24"/>
          <w:szCs w:val="24"/>
          <w:lang w:val="en-US" w:eastAsia="ar-SA"/>
        </w:rPr>
      </w:pPr>
      <w:r w:rsidRPr="003B627A">
        <w:rPr>
          <w:rFonts w:ascii="Times New Roman" w:hAnsi="Times New Roman" w:cs="Times New Roman"/>
          <w:sz w:val="24"/>
          <w:szCs w:val="24"/>
          <w:lang w:val="en-US" w:eastAsia="ar-SA"/>
        </w:rPr>
        <w:t xml:space="preserve">breach of the obligations stipulated by </w:t>
      </w:r>
      <w:r w:rsidR="0090531A">
        <w:rPr>
          <w:rFonts w:ascii="Times New Roman" w:hAnsi="Times New Roman" w:cs="Times New Roman"/>
          <w:sz w:val="24"/>
          <w:szCs w:val="24"/>
        </w:rPr>
        <w:t>AML/CFT Law</w:t>
      </w:r>
      <w:r w:rsidR="0090531A" w:rsidRPr="003B627A">
        <w:rPr>
          <w:rFonts w:ascii="Times New Roman" w:hAnsi="Times New Roman" w:cs="Times New Roman"/>
          <w:sz w:val="24"/>
          <w:szCs w:val="24"/>
          <w:lang w:val="en-US" w:eastAsia="ar-SA"/>
        </w:rPr>
        <w:t xml:space="preserve"> </w:t>
      </w:r>
      <w:r w:rsidRPr="003B627A">
        <w:rPr>
          <w:rFonts w:ascii="Times New Roman" w:hAnsi="Times New Roman" w:cs="Times New Roman"/>
          <w:sz w:val="24"/>
          <w:szCs w:val="24"/>
          <w:lang w:val="en-US" w:eastAsia="ar-SA"/>
        </w:rPr>
        <w:t>found out during the controls of the obliged persons.</w:t>
      </w:r>
    </w:p>
    <w:p w:rsidR="00F77C8D" w:rsidRPr="003B627A" w:rsidRDefault="00F77C8D" w:rsidP="00F77C8D">
      <w:pPr>
        <w:pStyle w:val="Odsekzoznamu"/>
        <w:suppressAutoHyphens/>
        <w:spacing w:before="100" w:beforeAutospacing="1" w:after="100" w:afterAutospacing="1" w:line="240" w:lineRule="auto"/>
        <w:ind w:left="0" w:firstLineChars="295" w:firstLine="708"/>
        <w:jc w:val="both"/>
        <w:rPr>
          <w:rFonts w:ascii="Times New Roman" w:hAnsi="Times New Roman" w:cs="Times New Roman"/>
          <w:sz w:val="24"/>
          <w:szCs w:val="24"/>
          <w:lang w:val="en-US" w:eastAsia="ar-SA"/>
        </w:rPr>
      </w:pPr>
      <w:r w:rsidRPr="003B627A">
        <w:rPr>
          <w:rFonts w:ascii="Times New Roman" w:hAnsi="Times New Roman" w:cs="Times New Roman"/>
          <w:sz w:val="24"/>
          <w:szCs w:val="24"/>
          <w:lang w:val="en-US" w:eastAsia="sk-SK"/>
        </w:rPr>
        <w:t>During the monitored period F</w:t>
      </w:r>
      <w:r w:rsidR="0007463C">
        <w:rPr>
          <w:rFonts w:ascii="Times New Roman" w:hAnsi="Times New Roman" w:cs="Times New Roman"/>
          <w:sz w:val="24"/>
          <w:szCs w:val="24"/>
          <w:lang w:val="en-US" w:eastAsia="sk-SK"/>
        </w:rPr>
        <w:t>SJ</w:t>
      </w:r>
      <w:r w:rsidRPr="003B627A">
        <w:rPr>
          <w:rFonts w:ascii="Times New Roman" w:hAnsi="Times New Roman" w:cs="Times New Roman"/>
          <w:sz w:val="24"/>
          <w:szCs w:val="24"/>
          <w:lang w:val="en-US" w:eastAsia="sk-SK"/>
        </w:rPr>
        <w:t xml:space="preserve"> performed 14 </w:t>
      </w:r>
      <w:r>
        <w:rPr>
          <w:rFonts w:ascii="Times New Roman" w:hAnsi="Times New Roman" w:cs="Times New Roman"/>
          <w:sz w:val="24"/>
          <w:szCs w:val="24"/>
          <w:lang w:val="en-US" w:eastAsia="sk-SK"/>
        </w:rPr>
        <w:t>controls</w:t>
      </w:r>
      <w:r w:rsidRPr="003B627A">
        <w:rPr>
          <w:rFonts w:ascii="Times New Roman" w:hAnsi="Times New Roman" w:cs="Times New Roman"/>
          <w:sz w:val="24"/>
          <w:szCs w:val="24"/>
          <w:lang w:val="en-US" w:eastAsia="sk-SK"/>
        </w:rPr>
        <w:t>. For the results of these controls see the chart below. In column „paid-up in EUR“ the sum in amount of 82.200,- EUR includes fines for detected administrative offences in the years 2012 and 2013. Two controls were completed with initiative to revoke a </w:t>
      </w:r>
      <w:r w:rsidR="0090531A" w:rsidRPr="003B627A">
        <w:rPr>
          <w:rFonts w:ascii="Times New Roman" w:hAnsi="Times New Roman" w:cs="Times New Roman"/>
          <w:sz w:val="24"/>
          <w:szCs w:val="24"/>
          <w:lang w:val="en-US" w:eastAsia="sk-SK"/>
        </w:rPr>
        <w:t>licen</w:t>
      </w:r>
      <w:r w:rsidR="0090531A">
        <w:rPr>
          <w:rFonts w:ascii="Times New Roman" w:hAnsi="Times New Roman" w:cs="Times New Roman"/>
          <w:sz w:val="24"/>
          <w:szCs w:val="24"/>
          <w:lang w:val="en-US" w:eastAsia="sk-SK"/>
        </w:rPr>
        <w:t>s</w:t>
      </w:r>
      <w:r w:rsidR="0090531A" w:rsidRPr="003B627A">
        <w:rPr>
          <w:rFonts w:ascii="Times New Roman" w:hAnsi="Times New Roman" w:cs="Times New Roman"/>
          <w:sz w:val="24"/>
          <w:szCs w:val="24"/>
          <w:lang w:val="en-US" w:eastAsia="sk-SK"/>
        </w:rPr>
        <w:t>e</w:t>
      </w:r>
      <w:r w:rsidRPr="003B627A">
        <w:rPr>
          <w:rFonts w:ascii="Times New Roman" w:hAnsi="Times New Roman" w:cs="Times New Roman"/>
          <w:sz w:val="24"/>
          <w:szCs w:val="24"/>
          <w:lang w:val="en-US" w:eastAsia="sk-SK"/>
        </w:rPr>
        <w:t xml:space="preserve"> for the conduct of business activity according to Section 34 of </w:t>
      </w:r>
      <w:r w:rsidR="00E857E2">
        <w:rPr>
          <w:rFonts w:ascii="Times New Roman" w:hAnsi="Times New Roman" w:cs="Times New Roman"/>
          <w:sz w:val="24"/>
          <w:szCs w:val="24"/>
        </w:rPr>
        <w:t>AML/CFT Law</w:t>
      </w:r>
      <w:r w:rsidRPr="003B627A">
        <w:rPr>
          <w:rFonts w:ascii="Times New Roman" w:hAnsi="Times New Roman" w:cs="Times New Roman"/>
          <w:sz w:val="24"/>
          <w:szCs w:val="24"/>
          <w:lang w:val="en-US" w:eastAsia="sk-SK"/>
        </w:rPr>
        <w:t xml:space="preserve">.   </w:t>
      </w:r>
    </w:p>
    <w:p w:rsidR="00F77C8D" w:rsidRPr="003B627A" w:rsidRDefault="00F77C8D" w:rsidP="00F77C8D">
      <w:pPr>
        <w:spacing w:after="0"/>
        <w:jc w:val="both"/>
        <w:rPr>
          <w:rFonts w:ascii="Times New Roman" w:hAnsi="Times New Roman" w:cs="Times New Roman"/>
          <w:sz w:val="24"/>
          <w:szCs w:val="24"/>
          <w:lang w:val="en-US" w:eastAsia="sk-SK"/>
        </w:rPr>
      </w:pPr>
    </w:p>
    <w:p w:rsidR="00F77C8D" w:rsidRPr="003B627A" w:rsidRDefault="00F77C8D" w:rsidP="00F77C8D">
      <w:pPr>
        <w:spacing w:after="0"/>
        <w:jc w:val="both"/>
        <w:rPr>
          <w:rFonts w:ascii="Times New Roman" w:hAnsi="Times New Roman" w:cs="Times New Roman"/>
          <w:sz w:val="20"/>
          <w:szCs w:val="20"/>
          <w:lang w:val="en-US" w:eastAsia="sk-SK"/>
        </w:rPr>
      </w:pPr>
      <w:r w:rsidRPr="003B627A">
        <w:rPr>
          <w:rFonts w:ascii="Times New Roman" w:hAnsi="Times New Roman" w:cs="Times New Roman"/>
          <w:sz w:val="20"/>
          <w:szCs w:val="20"/>
          <w:lang w:val="en-US" w:eastAsia="sk-SK"/>
        </w:rPr>
        <w:t>Chart No. 9</w:t>
      </w:r>
      <w:r w:rsidRPr="003B627A">
        <w:rPr>
          <w:rFonts w:ascii="Times New Roman" w:hAnsi="Times New Roman" w:cs="Times New Roman"/>
          <w:sz w:val="20"/>
          <w:szCs w:val="20"/>
          <w:lang w:val="en-US"/>
        </w:rPr>
        <w:t xml:space="preserve"> Statistical data on way of completion of controls performed in </w:t>
      </w:r>
      <w:r w:rsidRPr="003B627A">
        <w:rPr>
          <w:rFonts w:ascii="Times New Roman" w:hAnsi="Times New Roman" w:cs="Times New Roman"/>
          <w:sz w:val="20"/>
          <w:szCs w:val="20"/>
          <w:lang w:val="en-US" w:eastAsia="sk-SK"/>
        </w:rPr>
        <w:t>2013 (one sanct</w:t>
      </w:r>
      <w:r w:rsidR="0090531A">
        <w:rPr>
          <w:rFonts w:ascii="Times New Roman" w:hAnsi="Times New Roman" w:cs="Times New Roman"/>
          <w:sz w:val="20"/>
          <w:szCs w:val="20"/>
          <w:lang w:val="en-US" w:eastAsia="sk-SK"/>
        </w:rPr>
        <w:t>ion was imposed in the year 201</w:t>
      </w:r>
      <w:r w:rsidRPr="003B627A">
        <w:rPr>
          <w:rFonts w:ascii="Times New Roman" w:hAnsi="Times New Roman" w:cs="Times New Roman"/>
          <w:sz w:val="20"/>
          <w:szCs w:val="20"/>
          <w:lang w:val="en-US" w:eastAsia="sk-SK"/>
        </w:rPr>
        <w:t xml:space="preserve">3 for an administrative offence detected by a control in 2012.) </w:t>
      </w:r>
    </w:p>
    <w:p w:rsidR="00F77C8D" w:rsidRPr="003B627A" w:rsidRDefault="00F77C8D" w:rsidP="00F77C8D">
      <w:pPr>
        <w:spacing w:after="0"/>
        <w:jc w:val="both"/>
        <w:rPr>
          <w:rFonts w:ascii="Times New Roman" w:hAnsi="Times New Roman" w:cs="Times New Roman"/>
          <w:sz w:val="24"/>
          <w:szCs w:val="24"/>
          <w:lang w:val="en-US" w:eastAsia="sk-SK"/>
        </w:rPr>
      </w:pPr>
    </w:p>
    <w:tbl>
      <w:tblPr>
        <w:tblW w:w="85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
        <w:gridCol w:w="1080"/>
        <w:gridCol w:w="1260"/>
        <w:gridCol w:w="1038"/>
        <w:gridCol w:w="1447"/>
        <w:gridCol w:w="1780"/>
        <w:gridCol w:w="1180"/>
      </w:tblGrid>
      <w:tr w:rsidR="00F77C8D" w:rsidRPr="003B627A" w:rsidTr="00F77C8D">
        <w:trPr>
          <w:trHeight w:val="330"/>
        </w:trPr>
        <w:tc>
          <w:tcPr>
            <w:tcW w:w="730" w:type="dxa"/>
            <w:vMerge w:val="restart"/>
            <w:noWrap/>
            <w:vAlign w:val="center"/>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Year</w:t>
            </w:r>
          </w:p>
        </w:tc>
        <w:tc>
          <w:tcPr>
            <w:tcW w:w="1080" w:type="dxa"/>
            <w:vMerge w:val="restart"/>
            <w:noWrap/>
            <w:vAlign w:val="center"/>
          </w:tcPr>
          <w:p w:rsidR="00F77C8D" w:rsidRPr="003B627A" w:rsidRDefault="00F77C8D" w:rsidP="00F77C8D">
            <w:pPr>
              <w:spacing w:after="0" w:line="240" w:lineRule="auto"/>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rPr>
              <w:t>Number of controls</w:t>
            </w:r>
          </w:p>
        </w:tc>
        <w:tc>
          <w:tcPr>
            <w:tcW w:w="3745" w:type="dxa"/>
            <w:gridSpan w:val="3"/>
            <w:noWrap/>
            <w:vAlign w:val="center"/>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rPr>
              <w:t>Way of completion</w:t>
            </w:r>
          </w:p>
        </w:tc>
        <w:tc>
          <w:tcPr>
            <w:tcW w:w="1780" w:type="dxa"/>
            <w:vMerge w:val="restart"/>
            <w:noWrap/>
            <w:vAlign w:val="center"/>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rPr>
              <w:t>Amount of sanction in EUR</w:t>
            </w:r>
          </w:p>
        </w:tc>
        <w:tc>
          <w:tcPr>
            <w:tcW w:w="1180" w:type="dxa"/>
            <w:vMerge w:val="restart"/>
            <w:noWrap/>
            <w:vAlign w:val="center"/>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rPr>
              <w:t>Paid-up in EUR</w:t>
            </w:r>
          </w:p>
        </w:tc>
      </w:tr>
      <w:tr w:rsidR="00F77C8D" w:rsidRPr="003B627A" w:rsidTr="00F77C8D">
        <w:trPr>
          <w:trHeight w:val="330"/>
        </w:trPr>
        <w:tc>
          <w:tcPr>
            <w:tcW w:w="730" w:type="dxa"/>
            <w:vMerge/>
            <w:vAlign w:val="center"/>
          </w:tcPr>
          <w:p w:rsidR="00F77C8D" w:rsidRPr="003B627A" w:rsidRDefault="00F77C8D" w:rsidP="00F77C8D">
            <w:pPr>
              <w:spacing w:after="0"/>
              <w:rPr>
                <w:rFonts w:ascii="Times New Roman" w:hAnsi="Times New Roman" w:cs="Times New Roman"/>
                <w:sz w:val="24"/>
                <w:szCs w:val="24"/>
                <w:lang w:val="en-US" w:eastAsia="sk-SK"/>
              </w:rPr>
            </w:pPr>
          </w:p>
        </w:tc>
        <w:tc>
          <w:tcPr>
            <w:tcW w:w="1080" w:type="dxa"/>
            <w:vMerge/>
            <w:vAlign w:val="center"/>
          </w:tcPr>
          <w:p w:rsidR="00F77C8D" w:rsidRPr="003B627A" w:rsidRDefault="00F77C8D" w:rsidP="00F77C8D">
            <w:pPr>
              <w:spacing w:after="0"/>
              <w:rPr>
                <w:rFonts w:ascii="Times New Roman" w:hAnsi="Times New Roman" w:cs="Times New Roman"/>
                <w:sz w:val="24"/>
                <w:szCs w:val="24"/>
                <w:lang w:val="en-US" w:eastAsia="sk-SK"/>
              </w:rPr>
            </w:pPr>
          </w:p>
        </w:tc>
        <w:tc>
          <w:tcPr>
            <w:tcW w:w="1260" w:type="dxa"/>
            <w:noWrap/>
            <w:vAlign w:val="center"/>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rPr>
              <w:t>Without sanctions</w:t>
            </w:r>
          </w:p>
        </w:tc>
        <w:tc>
          <w:tcPr>
            <w:tcW w:w="1038" w:type="dxa"/>
            <w:noWrap/>
            <w:vAlign w:val="center"/>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rPr>
              <w:t>Sanction</w:t>
            </w:r>
          </w:p>
        </w:tc>
        <w:tc>
          <w:tcPr>
            <w:tcW w:w="1447" w:type="dxa"/>
            <w:vAlign w:val="center"/>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Not completed</w:t>
            </w:r>
          </w:p>
        </w:tc>
        <w:tc>
          <w:tcPr>
            <w:tcW w:w="1780" w:type="dxa"/>
            <w:vMerge/>
            <w:vAlign w:val="center"/>
          </w:tcPr>
          <w:p w:rsidR="00F77C8D" w:rsidRPr="003B627A" w:rsidRDefault="00F77C8D" w:rsidP="00F77C8D">
            <w:pPr>
              <w:spacing w:after="0"/>
              <w:rPr>
                <w:rFonts w:ascii="Times New Roman" w:hAnsi="Times New Roman" w:cs="Times New Roman"/>
                <w:sz w:val="24"/>
                <w:szCs w:val="24"/>
                <w:lang w:val="en-US" w:eastAsia="sk-SK"/>
              </w:rPr>
            </w:pPr>
          </w:p>
        </w:tc>
        <w:tc>
          <w:tcPr>
            <w:tcW w:w="1180" w:type="dxa"/>
            <w:vMerge/>
            <w:vAlign w:val="center"/>
          </w:tcPr>
          <w:p w:rsidR="00F77C8D" w:rsidRPr="003B627A" w:rsidRDefault="00F77C8D" w:rsidP="00F77C8D">
            <w:pPr>
              <w:spacing w:after="0"/>
              <w:rPr>
                <w:rFonts w:ascii="Times New Roman" w:hAnsi="Times New Roman" w:cs="Times New Roman"/>
                <w:sz w:val="24"/>
                <w:szCs w:val="24"/>
                <w:lang w:val="en-US" w:eastAsia="sk-SK"/>
              </w:rPr>
            </w:pPr>
          </w:p>
        </w:tc>
      </w:tr>
      <w:tr w:rsidR="00F77C8D" w:rsidRPr="003B627A" w:rsidTr="00F77C8D">
        <w:trPr>
          <w:trHeight w:val="315"/>
        </w:trPr>
        <w:tc>
          <w:tcPr>
            <w:tcW w:w="730" w:type="dxa"/>
            <w:noWrap/>
            <w:vAlign w:val="bottom"/>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2013</w:t>
            </w:r>
          </w:p>
        </w:tc>
        <w:tc>
          <w:tcPr>
            <w:tcW w:w="1080" w:type="dxa"/>
            <w:noWrap/>
            <w:vAlign w:val="bottom"/>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14</w:t>
            </w:r>
          </w:p>
        </w:tc>
        <w:tc>
          <w:tcPr>
            <w:tcW w:w="1260" w:type="dxa"/>
            <w:noWrap/>
            <w:vAlign w:val="bottom"/>
          </w:tcPr>
          <w:p w:rsidR="00F77C8D" w:rsidRPr="003B627A" w:rsidRDefault="00F77C8D" w:rsidP="00F77C8D">
            <w:pPr>
              <w:spacing w:after="0"/>
              <w:jc w:val="center"/>
              <w:rPr>
                <w:rFonts w:ascii="Times New Roman" w:hAnsi="Times New Roman" w:cs="Times New Roman"/>
                <w:sz w:val="24"/>
                <w:szCs w:val="24"/>
                <w:highlight w:val="red"/>
                <w:lang w:val="en-US" w:eastAsia="sk-SK"/>
              </w:rPr>
            </w:pPr>
            <w:r w:rsidRPr="003B627A">
              <w:rPr>
                <w:rFonts w:ascii="Times New Roman" w:hAnsi="Times New Roman" w:cs="Times New Roman"/>
                <w:sz w:val="24"/>
                <w:szCs w:val="24"/>
                <w:lang w:val="en-US" w:eastAsia="sk-SK"/>
              </w:rPr>
              <w:t>4</w:t>
            </w:r>
          </w:p>
        </w:tc>
        <w:tc>
          <w:tcPr>
            <w:tcW w:w="1038" w:type="dxa"/>
            <w:noWrap/>
            <w:vAlign w:val="bottom"/>
          </w:tcPr>
          <w:p w:rsidR="00F77C8D" w:rsidRPr="003B627A" w:rsidRDefault="00F77C8D" w:rsidP="00F77C8D">
            <w:pPr>
              <w:spacing w:after="0"/>
              <w:jc w:val="center"/>
              <w:rPr>
                <w:rFonts w:ascii="Times New Roman" w:hAnsi="Times New Roman" w:cs="Times New Roman"/>
                <w:sz w:val="24"/>
                <w:szCs w:val="24"/>
                <w:highlight w:val="red"/>
                <w:lang w:val="en-US" w:eastAsia="sk-SK"/>
              </w:rPr>
            </w:pPr>
            <w:r w:rsidRPr="003B627A">
              <w:rPr>
                <w:rFonts w:ascii="Times New Roman" w:hAnsi="Times New Roman" w:cs="Times New Roman"/>
                <w:sz w:val="24"/>
                <w:szCs w:val="24"/>
                <w:lang w:val="en-US" w:eastAsia="sk-SK"/>
              </w:rPr>
              <w:t>3</w:t>
            </w:r>
          </w:p>
        </w:tc>
        <w:tc>
          <w:tcPr>
            <w:tcW w:w="1447" w:type="dxa"/>
            <w:vAlign w:val="bottom"/>
          </w:tcPr>
          <w:p w:rsidR="00F77C8D" w:rsidRPr="003B627A" w:rsidRDefault="00F77C8D" w:rsidP="00F77C8D">
            <w:pPr>
              <w:spacing w:after="0"/>
              <w:jc w:val="center"/>
              <w:rPr>
                <w:rFonts w:ascii="Times New Roman" w:hAnsi="Times New Roman" w:cs="Times New Roman"/>
                <w:sz w:val="24"/>
                <w:szCs w:val="24"/>
                <w:highlight w:val="red"/>
                <w:lang w:val="en-US" w:eastAsia="sk-SK"/>
              </w:rPr>
            </w:pPr>
            <w:r w:rsidRPr="003B627A">
              <w:rPr>
                <w:rFonts w:ascii="Times New Roman" w:hAnsi="Times New Roman" w:cs="Times New Roman"/>
                <w:sz w:val="24"/>
                <w:szCs w:val="24"/>
                <w:lang w:val="en-US" w:eastAsia="sk-SK"/>
              </w:rPr>
              <w:t>8</w:t>
            </w:r>
          </w:p>
        </w:tc>
        <w:tc>
          <w:tcPr>
            <w:tcW w:w="1780" w:type="dxa"/>
            <w:noWrap/>
            <w:vAlign w:val="bottom"/>
          </w:tcPr>
          <w:p w:rsidR="00F77C8D" w:rsidRPr="003B627A" w:rsidRDefault="00F77C8D" w:rsidP="00F77C8D">
            <w:pPr>
              <w:spacing w:after="0"/>
              <w:jc w:val="center"/>
              <w:rPr>
                <w:rFonts w:ascii="Times New Roman" w:hAnsi="Times New Roman" w:cs="Times New Roman"/>
                <w:sz w:val="24"/>
                <w:szCs w:val="24"/>
                <w:highlight w:val="red"/>
                <w:lang w:val="en-US" w:eastAsia="sk-SK"/>
              </w:rPr>
            </w:pPr>
            <w:r w:rsidRPr="003B627A">
              <w:rPr>
                <w:rFonts w:ascii="Times New Roman" w:hAnsi="Times New Roman" w:cs="Times New Roman"/>
                <w:sz w:val="24"/>
                <w:szCs w:val="24"/>
                <w:lang w:val="en-US" w:eastAsia="sk-SK"/>
              </w:rPr>
              <w:t>23.500</w:t>
            </w:r>
          </w:p>
        </w:tc>
        <w:tc>
          <w:tcPr>
            <w:tcW w:w="1180" w:type="dxa"/>
            <w:noWrap/>
            <w:vAlign w:val="bottom"/>
          </w:tcPr>
          <w:p w:rsidR="00F77C8D" w:rsidRPr="003B627A" w:rsidRDefault="00F77C8D" w:rsidP="00F77C8D">
            <w:pPr>
              <w:spacing w:after="0"/>
              <w:jc w:val="center"/>
              <w:rPr>
                <w:rFonts w:ascii="Times New Roman" w:hAnsi="Times New Roman" w:cs="Times New Roman"/>
                <w:sz w:val="24"/>
                <w:szCs w:val="24"/>
                <w:highlight w:val="red"/>
                <w:lang w:val="en-US" w:eastAsia="sk-SK"/>
              </w:rPr>
            </w:pPr>
            <w:r w:rsidRPr="003B627A">
              <w:rPr>
                <w:rFonts w:ascii="Times New Roman" w:hAnsi="Times New Roman" w:cs="Times New Roman"/>
                <w:sz w:val="24"/>
                <w:szCs w:val="24"/>
                <w:lang w:val="en-US" w:eastAsia="sk-SK"/>
              </w:rPr>
              <w:t>82.200</w:t>
            </w:r>
          </w:p>
        </w:tc>
      </w:tr>
    </w:tbl>
    <w:p w:rsidR="00F77C8D" w:rsidRPr="003B627A" w:rsidRDefault="00F77C8D" w:rsidP="00F77C8D">
      <w:pPr>
        <w:spacing w:after="0"/>
        <w:jc w:val="both"/>
        <w:rPr>
          <w:rFonts w:ascii="Times New Roman" w:hAnsi="Times New Roman" w:cs="Times New Roman"/>
          <w:sz w:val="24"/>
          <w:szCs w:val="24"/>
          <w:lang w:val="en-US" w:eastAsia="sk-SK"/>
        </w:rPr>
      </w:pPr>
    </w:p>
    <w:p w:rsidR="00F77C8D" w:rsidRPr="003B627A" w:rsidRDefault="00F77C8D" w:rsidP="00F77C8D">
      <w:pPr>
        <w:spacing w:after="0"/>
        <w:ind w:firstLine="708"/>
        <w:jc w:val="both"/>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 xml:space="preserve">The most frequent control findings that were ascertained during the performance of the controls of compliance to obligations of the obliged entities were the following:  non-actual </w:t>
      </w:r>
      <w:r w:rsidR="0090531A" w:rsidRPr="003B627A">
        <w:rPr>
          <w:rFonts w:ascii="Times New Roman" w:hAnsi="Times New Roman" w:cs="Times New Roman"/>
          <w:sz w:val="24"/>
          <w:szCs w:val="24"/>
          <w:lang w:val="en-US" w:eastAsia="sk-SK"/>
        </w:rPr>
        <w:t>program</w:t>
      </w:r>
      <w:r w:rsidRPr="003B627A">
        <w:rPr>
          <w:rFonts w:ascii="Times New Roman" w:hAnsi="Times New Roman" w:cs="Times New Roman"/>
          <w:sz w:val="24"/>
          <w:szCs w:val="24"/>
          <w:lang w:val="en-US" w:eastAsia="sk-SK"/>
        </w:rPr>
        <w:t xml:space="preserve"> of</w:t>
      </w:r>
      <w:r w:rsidR="00AC1B65">
        <w:rPr>
          <w:rFonts w:ascii="Times New Roman" w:hAnsi="Times New Roman" w:cs="Times New Roman"/>
          <w:sz w:val="24"/>
          <w:szCs w:val="24"/>
          <w:lang w:val="en-US" w:eastAsia="sk-SK"/>
        </w:rPr>
        <w:t xml:space="preserve"> own activity, shortcomings in customer due diligence</w:t>
      </w:r>
      <w:r w:rsidRPr="003B627A">
        <w:rPr>
          <w:rFonts w:ascii="Times New Roman" w:hAnsi="Times New Roman" w:cs="Times New Roman"/>
          <w:sz w:val="24"/>
          <w:szCs w:val="24"/>
          <w:lang w:val="en-US" w:eastAsia="sk-SK"/>
        </w:rPr>
        <w:t xml:space="preserve"> and shortcomings in UTRs. </w:t>
      </w:r>
    </w:p>
    <w:p w:rsidR="00F77C8D" w:rsidRPr="003B627A" w:rsidRDefault="00F77C8D" w:rsidP="00F77C8D">
      <w:pPr>
        <w:spacing w:after="0"/>
        <w:jc w:val="both"/>
        <w:rPr>
          <w:rFonts w:ascii="Times New Roman" w:hAnsi="Times New Roman" w:cs="Times New Roman"/>
          <w:sz w:val="24"/>
          <w:szCs w:val="24"/>
          <w:lang w:val="en-US" w:eastAsia="sk-SK"/>
        </w:rPr>
      </w:pPr>
    </w:p>
    <w:p w:rsidR="0006728A" w:rsidRDefault="0006728A" w:rsidP="00F77C8D">
      <w:pPr>
        <w:spacing w:after="0"/>
        <w:jc w:val="both"/>
        <w:rPr>
          <w:rFonts w:ascii="Times New Roman" w:hAnsi="Times New Roman" w:cs="Times New Roman"/>
          <w:sz w:val="20"/>
          <w:szCs w:val="20"/>
          <w:lang w:val="en-US" w:eastAsia="sk-SK"/>
        </w:rPr>
      </w:pPr>
    </w:p>
    <w:p w:rsidR="00F77C8D" w:rsidRDefault="00F77C8D" w:rsidP="00F77C8D">
      <w:pPr>
        <w:spacing w:after="0"/>
        <w:jc w:val="both"/>
        <w:rPr>
          <w:rFonts w:ascii="Times New Roman" w:hAnsi="Times New Roman" w:cs="Times New Roman"/>
          <w:sz w:val="20"/>
          <w:szCs w:val="20"/>
          <w:lang w:val="en-US"/>
        </w:rPr>
      </w:pPr>
      <w:r w:rsidRPr="003B627A">
        <w:rPr>
          <w:rFonts w:ascii="Times New Roman" w:hAnsi="Times New Roman" w:cs="Times New Roman"/>
          <w:sz w:val="20"/>
          <w:szCs w:val="20"/>
          <w:lang w:val="en-US" w:eastAsia="sk-SK"/>
        </w:rPr>
        <w:lastRenderedPageBreak/>
        <w:t xml:space="preserve">Chart No. 10: </w:t>
      </w:r>
      <w:r w:rsidRPr="003B627A">
        <w:rPr>
          <w:rFonts w:ascii="Times New Roman" w:hAnsi="Times New Roman" w:cs="Times New Roman"/>
          <w:sz w:val="20"/>
          <w:szCs w:val="20"/>
          <w:lang w:val="en-US"/>
        </w:rPr>
        <w:t>Statistical data on the control findings of</w:t>
      </w:r>
      <w:r>
        <w:rPr>
          <w:rFonts w:ascii="Times New Roman" w:hAnsi="Times New Roman" w:cs="Times New Roman"/>
          <w:sz w:val="20"/>
          <w:szCs w:val="20"/>
          <w:lang w:val="en-US"/>
        </w:rPr>
        <w:t xml:space="preserve"> </w:t>
      </w:r>
      <w:r w:rsidRPr="003B627A">
        <w:rPr>
          <w:rFonts w:ascii="Times New Roman" w:hAnsi="Times New Roman" w:cs="Times New Roman"/>
          <w:sz w:val="20"/>
          <w:szCs w:val="20"/>
          <w:lang w:val="en-US"/>
        </w:rPr>
        <w:t xml:space="preserve">obliged entities for the year 2013 divided according to their subject of business. </w:t>
      </w:r>
    </w:p>
    <w:tbl>
      <w:tblPr>
        <w:tblW w:w="88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7"/>
        <w:gridCol w:w="994"/>
        <w:gridCol w:w="4179"/>
      </w:tblGrid>
      <w:tr w:rsidR="00F77C8D" w:rsidRPr="003B627A" w:rsidTr="00F77C8D">
        <w:trPr>
          <w:trHeight w:val="538"/>
        </w:trPr>
        <w:tc>
          <w:tcPr>
            <w:tcW w:w="3647" w:type="dxa"/>
            <w:vAlign w:val="center"/>
          </w:tcPr>
          <w:p w:rsidR="00F77C8D" w:rsidRPr="003B627A" w:rsidRDefault="00F77C8D" w:rsidP="00F77C8D">
            <w:pPr>
              <w:spacing w:after="0"/>
              <w:rPr>
                <w:rFonts w:ascii="Times New Roman" w:hAnsi="Times New Roman" w:cs="Times New Roman"/>
                <w:b/>
                <w:bCs/>
                <w:sz w:val="24"/>
                <w:szCs w:val="24"/>
                <w:lang w:val="en-US" w:eastAsia="sk-SK"/>
              </w:rPr>
            </w:pPr>
            <w:r w:rsidRPr="003B627A">
              <w:rPr>
                <w:rFonts w:ascii="Times New Roman" w:hAnsi="Times New Roman" w:cs="Times New Roman"/>
                <w:b/>
                <w:bCs/>
                <w:sz w:val="24"/>
                <w:szCs w:val="24"/>
                <w:lang w:val="en-US" w:eastAsia="sk-SK"/>
              </w:rPr>
              <w:t>Obliged entity</w:t>
            </w:r>
          </w:p>
        </w:tc>
        <w:tc>
          <w:tcPr>
            <w:tcW w:w="994" w:type="dxa"/>
            <w:vAlign w:val="center"/>
          </w:tcPr>
          <w:p w:rsidR="00F77C8D" w:rsidRPr="003B627A" w:rsidRDefault="00F77C8D" w:rsidP="00F77C8D">
            <w:pPr>
              <w:spacing w:after="0"/>
              <w:jc w:val="center"/>
              <w:rPr>
                <w:rFonts w:ascii="Times New Roman" w:hAnsi="Times New Roman" w:cs="Times New Roman"/>
                <w:b/>
                <w:bCs/>
                <w:sz w:val="24"/>
                <w:szCs w:val="24"/>
                <w:lang w:val="en-US" w:eastAsia="sk-SK"/>
              </w:rPr>
            </w:pPr>
            <w:r w:rsidRPr="003B627A">
              <w:rPr>
                <w:rFonts w:ascii="Times New Roman" w:hAnsi="Times New Roman" w:cs="Times New Roman"/>
                <w:b/>
                <w:bCs/>
                <w:sz w:val="24"/>
                <w:szCs w:val="24"/>
                <w:lang w:val="en-US"/>
              </w:rPr>
              <w:t>Number of controls</w:t>
            </w:r>
          </w:p>
        </w:tc>
        <w:tc>
          <w:tcPr>
            <w:tcW w:w="4179" w:type="dxa"/>
            <w:vAlign w:val="center"/>
          </w:tcPr>
          <w:p w:rsidR="00F77C8D" w:rsidRPr="003B627A" w:rsidRDefault="00F77C8D" w:rsidP="00F77C8D">
            <w:pPr>
              <w:spacing w:after="0"/>
              <w:rPr>
                <w:rFonts w:ascii="Times New Roman" w:hAnsi="Times New Roman" w:cs="Times New Roman"/>
                <w:b/>
                <w:bCs/>
                <w:sz w:val="24"/>
                <w:szCs w:val="24"/>
                <w:lang w:val="en-US" w:eastAsia="sk-SK"/>
              </w:rPr>
            </w:pPr>
            <w:r w:rsidRPr="003B627A">
              <w:rPr>
                <w:rFonts w:ascii="Times New Roman" w:hAnsi="Times New Roman" w:cs="Times New Roman"/>
                <w:b/>
                <w:bCs/>
                <w:sz w:val="24"/>
                <w:szCs w:val="24"/>
                <w:lang w:val="en-US" w:eastAsia="sk-SK"/>
              </w:rPr>
              <w:t xml:space="preserve">       Control findings </w:t>
            </w:r>
          </w:p>
        </w:tc>
      </w:tr>
      <w:tr w:rsidR="00F77C8D" w:rsidRPr="003B627A" w:rsidTr="00F77C8D">
        <w:trPr>
          <w:trHeight w:val="298"/>
        </w:trPr>
        <w:tc>
          <w:tcPr>
            <w:tcW w:w="3647" w:type="dxa"/>
          </w:tcPr>
          <w:p w:rsidR="00F77C8D" w:rsidRPr="003B627A" w:rsidRDefault="00F77C8D" w:rsidP="00F77C8D">
            <w:pPr>
              <w:spacing w:after="0"/>
              <w:rPr>
                <w:rFonts w:ascii="Times New Roman" w:hAnsi="Times New Roman" w:cs="Times New Roman"/>
                <w:sz w:val="24"/>
                <w:szCs w:val="24"/>
                <w:lang w:val="en-US" w:eastAsia="sk-SK"/>
              </w:rPr>
            </w:pPr>
            <w:r w:rsidRPr="003B627A">
              <w:rPr>
                <w:rFonts w:ascii="Times New Roman" w:hAnsi="Times New Roman" w:cs="Times New Roman"/>
                <w:sz w:val="24"/>
                <w:szCs w:val="24"/>
                <w:lang w:val="en-US"/>
              </w:rPr>
              <w:t>Exchange office</w:t>
            </w:r>
          </w:p>
        </w:tc>
        <w:tc>
          <w:tcPr>
            <w:tcW w:w="994" w:type="dxa"/>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1</w:t>
            </w:r>
          </w:p>
        </w:tc>
        <w:tc>
          <w:tcPr>
            <w:tcW w:w="4179" w:type="dxa"/>
          </w:tcPr>
          <w:p w:rsidR="00F77C8D" w:rsidRPr="00AC1B65" w:rsidRDefault="00F77C8D" w:rsidP="00AC1B65">
            <w:pPr>
              <w:pStyle w:val="Odsekzoznamu"/>
              <w:numPr>
                <w:ilvl w:val="0"/>
                <w:numId w:val="10"/>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eastAsia="sk-SK"/>
              </w:rPr>
              <w:t xml:space="preserve">non-actual </w:t>
            </w:r>
            <w:r w:rsidR="00AC1B65" w:rsidRPr="00AC1B65">
              <w:rPr>
                <w:rFonts w:ascii="Times New Roman" w:hAnsi="Times New Roman" w:cs="Times New Roman"/>
                <w:sz w:val="24"/>
                <w:szCs w:val="24"/>
                <w:lang w:val="en-US" w:eastAsia="sk-SK"/>
              </w:rPr>
              <w:t>program</w:t>
            </w:r>
            <w:r w:rsidRPr="00AC1B65">
              <w:rPr>
                <w:rFonts w:ascii="Times New Roman" w:hAnsi="Times New Roman" w:cs="Times New Roman"/>
                <w:sz w:val="24"/>
                <w:szCs w:val="24"/>
                <w:lang w:val="en-US" w:eastAsia="sk-SK"/>
              </w:rPr>
              <w:t xml:space="preserve"> of own activity </w:t>
            </w:r>
          </w:p>
          <w:p w:rsidR="00F77C8D" w:rsidRPr="00AC1B65" w:rsidRDefault="00F77C8D" w:rsidP="00AC1B65">
            <w:pPr>
              <w:pStyle w:val="Odsekzoznamu"/>
              <w:numPr>
                <w:ilvl w:val="0"/>
                <w:numId w:val="10"/>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rPr>
              <w:t>break of obligations within appraisal of transactions</w:t>
            </w:r>
          </w:p>
          <w:p w:rsidR="00F77C8D" w:rsidRPr="00AC1B65" w:rsidRDefault="00F77C8D" w:rsidP="00AC1B65">
            <w:pPr>
              <w:pStyle w:val="Odsekzoznamu"/>
              <w:numPr>
                <w:ilvl w:val="0"/>
                <w:numId w:val="10"/>
              </w:numPr>
              <w:spacing w:after="0" w:line="240" w:lineRule="auto"/>
              <w:rPr>
                <w:rFonts w:ascii="Times New Roman" w:hAnsi="Times New Roman" w:cs="Times New Roman"/>
                <w:sz w:val="24"/>
                <w:szCs w:val="24"/>
                <w:lang w:val="en-US"/>
              </w:rPr>
            </w:pPr>
            <w:r w:rsidRPr="00AC1B65">
              <w:rPr>
                <w:rFonts w:ascii="Times New Roman" w:hAnsi="Times New Roman" w:cs="Times New Roman"/>
                <w:sz w:val="24"/>
                <w:szCs w:val="24"/>
                <w:lang w:val="en-US"/>
              </w:rPr>
              <w:t xml:space="preserve">shortcomings in </w:t>
            </w:r>
            <w:r w:rsidR="00AC1B65" w:rsidRPr="00AC1B65">
              <w:rPr>
                <w:rFonts w:ascii="Times New Roman" w:hAnsi="Times New Roman" w:cs="Times New Roman"/>
                <w:sz w:val="24"/>
                <w:szCs w:val="24"/>
                <w:lang w:val="en-US" w:eastAsia="sk-SK"/>
              </w:rPr>
              <w:t>customer due diligence</w:t>
            </w:r>
            <w:r w:rsidRPr="00AC1B65">
              <w:rPr>
                <w:rFonts w:ascii="Times New Roman" w:hAnsi="Times New Roman" w:cs="Times New Roman"/>
                <w:sz w:val="24"/>
                <w:szCs w:val="24"/>
                <w:lang w:val="en-US"/>
              </w:rPr>
              <w:t xml:space="preserve"> </w:t>
            </w:r>
          </w:p>
        </w:tc>
      </w:tr>
      <w:tr w:rsidR="00F77C8D" w:rsidRPr="003B627A" w:rsidTr="00F77C8D">
        <w:trPr>
          <w:trHeight w:val="508"/>
        </w:trPr>
        <w:tc>
          <w:tcPr>
            <w:tcW w:w="3647" w:type="dxa"/>
          </w:tcPr>
          <w:p w:rsidR="00F77C8D" w:rsidRPr="003B627A" w:rsidRDefault="00F77C8D" w:rsidP="00F77C8D">
            <w:pPr>
              <w:spacing w:after="0"/>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Leasing</w:t>
            </w:r>
          </w:p>
        </w:tc>
        <w:tc>
          <w:tcPr>
            <w:tcW w:w="994" w:type="dxa"/>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1</w:t>
            </w:r>
          </w:p>
        </w:tc>
        <w:tc>
          <w:tcPr>
            <w:tcW w:w="4179" w:type="dxa"/>
            <w:vAlign w:val="bottom"/>
          </w:tcPr>
          <w:p w:rsidR="00F77C8D" w:rsidRPr="00AC1B65" w:rsidRDefault="00F77C8D" w:rsidP="00AC1B65">
            <w:pPr>
              <w:pStyle w:val="Odsekzoznamu"/>
              <w:numPr>
                <w:ilvl w:val="0"/>
                <w:numId w:val="11"/>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eastAsia="sk-SK"/>
              </w:rPr>
              <w:t>no program</w:t>
            </w:r>
          </w:p>
          <w:p w:rsidR="00F77C8D" w:rsidRPr="00AC1B65" w:rsidRDefault="00AC1B65" w:rsidP="00AC1B65">
            <w:pPr>
              <w:pStyle w:val="Odsekzoznamu"/>
              <w:numPr>
                <w:ilvl w:val="0"/>
                <w:numId w:val="11"/>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eastAsia="sk-SK"/>
              </w:rPr>
              <w:t>incomplete program</w:t>
            </w:r>
          </w:p>
        </w:tc>
      </w:tr>
      <w:tr w:rsidR="00F77C8D" w:rsidRPr="003B627A" w:rsidTr="00F77C8D">
        <w:trPr>
          <w:trHeight w:val="356"/>
        </w:trPr>
        <w:tc>
          <w:tcPr>
            <w:tcW w:w="3647" w:type="dxa"/>
          </w:tcPr>
          <w:p w:rsidR="00F77C8D" w:rsidRPr="003B627A" w:rsidRDefault="00F77C8D" w:rsidP="00F77C8D">
            <w:pPr>
              <w:spacing w:after="0"/>
              <w:rPr>
                <w:rFonts w:ascii="Times New Roman" w:hAnsi="Times New Roman" w:cs="Times New Roman"/>
                <w:sz w:val="24"/>
                <w:szCs w:val="24"/>
                <w:lang w:val="en-US" w:eastAsia="sk-SK"/>
              </w:rPr>
            </w:pPr>
            <w:r w:rsidRPr="003B627A">
              <w:rPr>
                <w:rFonts w:ascii="Times New Roman" w:hAnsi="Times New Roman" w:cs="Times New Roman"/>
                <w:sz w:val="24"/>
                <w:szCs w:val="24"/>
                <w:lang w:val="en-US"/>
              </w:rPr>
              <w:t>Providing of loans</w:t>
            </w:r>
          </w:p>
        </w:tc>
        <w:tc>
          <w:tcPr>
            <w:tcW w:w="994" w:type="dxa"/>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3</w:t>
            </w:r>
          </w:p>
        </w:tc>
        <w:tc>
          <w:tcPr>
            <w:tcW w:w="4179" w:type="dxa"/>
          </w:tcPr>
          <w:p w:rsidR="00F77C8D" w:rsidRPr="00AC1B65" w:rsidRDefault="00AC1B65" w:rsidP="00AC1B65">
            <w:pPr>
              <w:pStyle w:val="Odsekzoznamu"/>
              <w:numPr>
                <w:ilvl w:val="0"/>
                <w:numId w:val="12"/>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eastAsia="sk-SK"/>
              </w:rPr>
              <w:t>incomplete program</w:t>
            </w:r>
          </w:p>
          <w:p w:rsidR="00F77C8D" w:rsidRPr="00AC1B65" w:rsidRDefault="00F77C8D" w:rsidP="00AC1B65">
            <w:pPr>
              <w:pStyle w:val="Odsekzoznamu"/>
              <w:numPr>
                <w:ilvl w:val="0"/>
                <w:numId w:val="12"/>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rPr>
              <w:t>break of obligations within appraisal of transactions</w:t>
            </w:r>
          </w:p>
        </w:tc>
      </w:tr>
      <w:tr w:rsidR="00F77C8D" w:rsidRPr="003B627A" w:rsidTr="00F77C8D">
        <w:trPr>
          <w:trHeight w:val="528"/>
        </w:trPr>
        <w:tc>
          <w:tcPr>
            <w:tcW w:w="3647" w:type="dxa"/>
          </w:tcPr>
          <w:p w:rsidR="00F77C8D" w:rsidRPr="003B627A" w:rsidRDefault="00F77C8D" w:rsidP="00F77C8D">
            <w:pPr>
              <w:spacing w:after="0"/>
              <w:rPr>
                <w:rFonts w:ascii="Times New Roman" w:hAnsi="Times New Roman" w:cs="Times New Roman"/>
                <w:sz w:val="24"/>
                <w:szCs w:val="24"/>
                <w:lang w:val="en-US" w:eastAsia="sk-SK"/>
              </w:rPr>
            </w:pPr>
            <w:r w:rsidRPr="003B627A">
              <w:rPr>
                <w:rFonts w:ascii="Times New Roman" w:hAnsi="Times New Roman" w:cs="Times New Roman"/>
                <w:sz w:val="24"/>
                <w:szCs w:val="24"/>
                <w:lang w:val="en-US"/>
              </w:rPr>
              <w:t>Advisor of organizational and economic services</w:t>
            </w:r>
          </w:p>
        </w:tc>
        <w:tc>
          <w:tcPr>
            <w:tcW w:w="994" w:type="dxa"/>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1</w:t>
            </w:r>
          </w:p>
        </w:tc>
        <w:tc>
          <w:tcPr>
            <w:tcW w:w="4179" w:type="dxa"/>
          </w:tcPr>
          <w:p w:rsidR="00F77C8D" w:rsidRPr="00AC1B65" w:rsidRDefault="00AC1B65" w:rsidP="00AC1B65">
            <w:pPr>
              <w:pStyle w:val="Odsekzoznamu"/>
              <w:numPr>
                <w:ilvl w:val="0"/>
                <w:numId w:val="13"/>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eastAsia="sk-SK"/>
              </w:rPr>
              <w:t>no program</w:t>
            </w:r>
          </w:p>
          <w:p w:rsidR="00F77C8D" w:rsidRPr="00AC1B65" w:rsidRDefault="00AC1B65" w:rsidP="00AC1B65">
            <w:pPr>
              <w:pStyle w:val="Odsekzoznamu"/>
              <w:numPr>
                <w:ilvl w:val="0"/>
                <w:numId w:val="13"/>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eastAsia="sk-SK"/>
              </w:rPr>
              <w:t>incomplete program</w:t>
            </w:r>
          </w:p>
          <w:p w:rsidR="00F77C8D" w:rsidRPr="00AC1B65" w:rsidRDefault="00F77C8D" w:rsidP="00AC1B65">
            <w:pPr>
              <w:pStyle w:val="Odsekzoznamu"/>
              <w:numPr>
                <w:ilvl w:val="0"/>
                <w:numId w:val="13"/>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rPr>
              <w:t>withhold of documents</w:t>
            </w:r>
          </w:p>
        </w:tc>
      </w:tr>
      <w:tr w:rsidR="00F77C8D" w:rsidRPr="003B627A" w:rsidTr="00F77C8D">
        <w:trPr>
          <w:trHeight w:val="374"/>
        </w:trPr>
        <w:tc>
          <w:tcPr>
            <w:tcW w:w="3647" w:type="dxa"/>
          </w:tcPr>
          <w:p w:rsidR="00F77C8D" w:rsidRPr="003B627A" w:rsidRDefault="00F77C8D" w:rsidP="00F77C8D">
            <w:pPr>
              <w:spacing w:after="0"/>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Non-profit organization</w:t>
            </w:r>
          </w:p>
        </w:tc>
        <w:tc>
          <w:tcPr>
            <w:tcW w:w="994" w:type="dxa"/>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1</w:t>
            </w:r>
          </w:p>
        </w:tc>
        <w:tc>
          <w:tcPr>
            <w:tcW w:w="4179" w:type="dxa"/>
          </w:tcPr>
          <w:p w:rsidR="00F77C8D" w:rsidRPr="00AC1B65" w:rsidRDefault="00F77C8D" w:rsidP="00AC1B65">
            <w:pPr>
              <w:pStyle w:val="Odsekzoznamu"/>
              <w:numPr>
                <w:ilvl w:val="0"/>
                <w:numId w:val="14"/>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rPr>
              <w:t>no shortcomings</w:t>
            </w:r>
          </w:p>
        </w:tc>
      </w:tr>
      <w:tr w:rsidR="00F77C8D" w:rsidRPr="003B627A" w:rsidTr="00F77C8D">
        <w:trPr>
          <w:trHeight w:val="356"/>
        </w:trPr>
        <w:tc>
          <w:tcPr>
            <w:tcW w:w="3647" w:type="dxa"/>
          </w:tcPr>
          <w:p w:rsidR="00F77C8D" w:rsidRPr="003B627A" w:rsidRDefault="00F77C8D" w:rsidP="00F77C8D">
            <w:pPr>
              <w:rPr>
                <w:rFonts w:ascii="Times New Roman" w:hAnsi="Times New Roman" w:cs="Times New Roman"/>
                <w:sz w:val="24"/>
                <w:szCs w:val="24"/>
                <w:lang w:val="en-US"/>
              </w:rPr>
            </w:pPr>
            <w:r w:rsidRPr="003B627A">
              <w:rPr>
                <w:rFonts w:ascii="Times New Roman" w:hAnsi="Times New Roman" w:cs="Times New Roman"/>
                <w:sz w:val="24"/>
                <w:szCs w:val="24"/>
                <w:lang w:val="en-US"/>
              </w:rPr>
              <w:t>Trader in precious metal</w:t>
            </w:r>
          </w:p>
        </w:tc>
        <w:tc>
          <w:tcPr>
            <w:tcW w:w="994" w:type="dxa"/>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1</w:t>
            </w:r>
          </w:p>
        </w:tc>
        <w:tc>
          <w:tcPr>
            <w:tcW w:w="4179" w:type="dxa"/>
          </w:tcPr>
          <w:p w:rsidR="00F77C8D" w:rsidRPr="00AC1B65" w:rsidRDefault="00AC1B65" w:rsidP="00AC1B65">
            <w:pPr>
              <w:pStyle w:val="Odsekzoznamu"/>
              <w:numPr>
                <w:ilvl w:val="0"/>
                <w:numId w:val="15"/>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eastAsia="sk-SK"/>
              </w:rPr>
              <w:t>incomplete program</w:t>
            </w:r>
          </w:p>
        </w:tc>
      </w:tr>
      <w:tr w:rsidR="00F77C8D" w:rsidRPr="003B627A" w:rsidTr="00F77C8D">
        <w:trPr>
          <w:trHeight w:val="352"/>
        </w:trPr>
        <w:tc>
          <w:tcPr>
            <w:tcW w:w="3647" w:type="dxa"/>
          </w:tcPr>
          <w:p w:rsidR="00F77C8D" w:rsidRPr="003B627A" w:rsidRDefault="00F77C8D" w:rsidP="00F77C8D">
            <w:pPr>
              <w:spacing w:after="0"/>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Insurance company</w:t>
            </w:r>
          </w:p>
        </w:tc>
        <w:tc>
          <w:tcPr>
            <w:tcW w:w="994" w:type="dxa"/>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1</w:t>
            </w:r>
          </w:p>
        </w:tc>
        <w:tc>
          <w:tcPr>
            <w:tcW w:w="4179" w:type="dxa"/>
          </w:tcPr>
          <w:p w:rsidR="00F77C8D" w:rsidRPr="00AC1B65" w:rsidRDefault="00F77C8D" w:rsidP="00AC1B65">
            <w:pPr>
              <w:pStyle w:val="Odsekzoznamu"/>
              <w:numPr>
                <w:ilvl w:val="0"/>
                <w:numId w:val="16"/>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eastAsia="sk-SK"/>
              </w:rPr>
              <w:t>in</w:t>
            </w:r>
            <w:r w:rsidR="00AC1B65" w:rsidRPr="00AC1B65">
              <w:rPr>
                <w:rFonts w:ascii="Times New Roman" w:hAnsi="Times New Roman" w:cs="Times New Roman"/>
                <w:sz w:val="24"/>
                <w:szCs w:val="24"/>
                <w:lang w:val="en-US" w:eastAsia="sk-SK"/>
              </w:rPr>
              <w:t>complete program</w:t>
            </w:r>
          </w:p>
          <w:p w:rsidR="00F77C8D" w:rsidRPr="00AC1B65" w:rsidRDefault="00F77C8D" w:rsidP="00AC1B65">
            <w:pPr>
              <w:pStyle w:val="Odsekzoznamu"/>
              <w:numPr>
                <w:ilvl w:val="0"/>
                <w:numId w:val="16"/>
              </w:numPr>
              <w:spacing w:after="0" w:line="240" w:lineRule="auto"/>
              <w:rPr>
                <w:rFonts w:ascii="Times New Roman" w:hAnsi="Times New Roman" w:cs="Times New Roman"/>
                <w:sz w:val="24"/>
                <w:szCs w:val="24"/>
                <w:lang w:val="en-US"/>
              </w:rPr>
            </w:pPr>
            <w:r w:rsidRPr="00AC1B65">
              <w:rPr>
                <w:rFonts w:ascii="Times New Roman" w:hAnsi="Times New Roman" w:cs="Times New Roman"/>
                <w:sz w:val="24"/>
                <w:szCs w:val="24"/>
                <w:lang w:val="en-US"/>
              </w:rPr>
              <w:t xml:space="preserve">shortcomings in </w:t>
            </w:r>
            <w:r w:rsidR="00AC1B65" w:rsidRPr="00AC1B65">
              <w:rPr>
                <w:rFonts w:ascii="Times New Roman" w:hAnsi="Times New Roman" w:cs="Times New Roman"/>
                <w:sz w:val="24"/>
                <w:szCs w:val="24"/>
                <w:lang w:val="en-US" w:eastAsia="sk-SK"/>
              </w:rPr>
              <w:t>customer due diligence</w:t>
            </w:r>
            <w:r w:rsidRPr="00AC1B65">
              <w:rPr>
                <w:rFonts w:ascii="Times New Roman" w:hAnsi="Times New Roman" w:cs="Times New Roman"/>
                <w:sz w:val="24"/>
                <w:szCs w:val="24"/>
                <w:lang w:val="en-US"/>
              </w:rPr>
              <w:t xml:space="preserve"> </w:t>
            </w:r>
          </w:p>
          <w:p w:rsidR="00F77C8D" w:rsidRPr="00AC1B65" w:rsidRDefault="00F77C8D" w:rsidP="00AC1B65">
            <w:pPr>
              <w:pStyle w:val="Odsekzoznamu"/>
              <w:numPr>
                <w:ilvl w:val="0"/>
                <w:numId w:val="16"/>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rPr>
              <w:t>break of obligations within appraisal of transactions</w:t>
            </w:r>
          </w:p>
          <w:p w:rsidR="00F77C8D" w:rsidRPr="00AC1B65" w:rsidRDefault="00F77C8D" w:rsidP="00AC1B65">
            <w:pPr>
              <w:pStyle w:val="Odsekzoznamu"/>
              <w:numPr>
                <w:ilvl w:val="0"/>
                <w:numId w:val="16"/>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eastAsia="sk-SK"/>
              </w:rPr>
              <w:t>shortcomings in UTRs</w:t>
            </w:r>
          </w:p>
        </w:tc>
      </w:tr>
      <w:tr w:rsidR="00F77C8D" w:rsidRPr="003B627A" w:rsidTr="00F77C8D">
        <w:trPr>
          <w:trHeight w:val="352"/>
        </w:trPr>
        <w:tc>
          <w:tcPr>
            <w:tcW w:w="3647" w:type="dxa"/>
          </w:tcPr>
          <w:p w:rsidR="00F77C8D" w:rsidRPr="003B627A" w:rsidRDefault="00F77C8D" w:rsidP="00F77C8D">
            <w:pPr>
              <w:spacing w:after="0"/>
              <w:rPr>
                <w:rFonts w:ascii="Times New Roman" w:hAnsi="Times New Roman" w:cs="Times New Roman"/>
                <w:sz w:val="24"/>
                <w:szCs w:val="24"/>
                <w:lang w:val="en-US" w:eastAsia="sk-SK"/>
              </w:rPr>
            </w:pPr>
            <w:r w:rsidRPr="003B627A">
              <w:rPr>
                <w:rFonts w:ascii="Times New Roman" w:hAnsi="Times New Roman" w:cs="Times New Roman"/>
                <w:sz w:val="24"/>
                <w:szCs w:val="24"/>
                <w:lang w:val="en-US"/>
              </w:rPr>
              <w:t>Courier services</w:t>
            </w:r>
          </w:p>
        </w:tc>
        <w:tc>
          <w:tcPr>
            <w:tcW w:w="994" w:type="dxa"/>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1</w:t>
            </w:r>
          </w:p>
        </w:tc>
        <w:tc>
          <w:tcPr>
            <w:tcW w:w="4179" w:type="dxa"/>
          </w:tcPr>
          <w:p w:rsidR="00F77C8D" w:rsidRPr="00AC1B65" w:rsidRDefault="00F77C8D" w:rsidP="00AC1B65">
            <w:pPr>
              <w:pStyle w:val="Odsekzoznamu"/>
              <w:numPr>
                <w:ilvl w:val="0"/>
                <w:numId w:val="17"/>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rPr>
              <w:t>no shortcomings</w:t>
            </w:r>
          </w:p>
        </w:tc>
      </w:tr>
      <w:tr w:rsidR="00F77C8D" w:rsidRPr="003B627A" w:rsidTr="00F77C8D">
        <w:trPr>
          <w:trHeight w:val="528"/>
        </w:trPr>
        <w:tc>
          <w:tcPr>
            <w:tcW w:w="3647" w:type="dxa"/>
          </w:tcPr>
          <w:p w:rsidR="00F77C8D" w:rsidRPr="003B627A" w:rsidRDefault="00F77C8D" w:rsidP="00F77C8D">
            <w:pPr>
              <w:spacing w:after="0"/>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Bank</w:t>
            </w:r>
          </w:p>
        </w:tc>
        <w:tc>
          <w:tcPr>
            <w:tcW w:w="994" w:type="dxa"/>
          </w:tcPr>
          <w:p w:rsidR="00F77C8D" w:rsidRPr="003B627A" w:rsidRDefault="00F77C8D" w:rsidP="00F77C8D">
            <w:pPr>
              <w:spacing w:after="0"/>
              <w:jc w:val="center"/>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4</w:t>
            </w:r>
          </w:p>
        </w:tc>
        <w:tc>
          <w:tcPr>
            <w:tcW w:w="4179" w:type="dxa"/>
            <w:vAlign w:val="bottom"/>
          </w:tcPr>
          <w:p w:rsidR="00F77C8D" w:rsidRPr="00AC1B65" w:rsidRDefault="00AC1B65" w:rsidP="00AC1B65">
            <w:pPr>
              <w:pStyle w:val="Odsekzoznamu"/>
              <w:numPr>
                <w:ilvl w:val="0"/>
                <w:numId w:val="18"/>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eastAsia="sk-SK"/>
              </w:rPr>
              <w:t>incomplete program</w:t>
            </w:r>
          </w:p>
          <w:p w:rsidR="00F77C8D" w:rsidRPr="00AC1B65" w:rsidRDefault="00F77C8D" w:rsidP="00AC1B65">
            <w:pPr>
              <w:pStyle w:val="Odsekzoznamu"/>
              <w:numPr>
                <w:ilvl w:val="0"/>
                <w:numId w:val="18"/>
              </w:numPr>
              <w:spacing w:after="0" w:line="240" w:lineRule="auto"/>
              <w:rPr>
                <w:rFonts w:ascii="Times New Roman" w:hAnsi="Times New Roman" w:cs="Times New Roman"/>
                <w:sz w:val="24"/>
                <w:szCs w:val="24"/>
                <w:lang w:val="en-US"/>
              </w:rPr>
            </w:pPr>
            <w:r w:rsidRPr="00AC1B65">
              <w:rPr>
                <w:rFonts w:ascii="Times New Roman" w:hAnsi="Times New Roman" w:cs="Times New Roman"/>
                <w:sz w:val="24"/>
                <w:szCs w:val="24"/>
                <w:lang w:val="en-US"/>
              </w:rPr>
              <w:t xml:space="preserve">shortcomings in </w:t>
            </w:r>
            <w:r w:rsidR="00AC1B65" w:rsidRPr="00AC1B65">
              <w:rPr>
                <w:rFonts w:ascii="Times New Roman" w:hAnsi="Times New Roman" w:cs="Times New Roman"/>
                <w:sz w:val="24"/>
                <w:szCs w:val="24"/>
                <w:lang w:val="en-US" w:eastAsia="sk-SK"/>
              </w:rPr>
              <w:t>customer due diligence</w:t>
            </w:r>
            <w:r w:rsidRPr="00AC1B65">
              <w:rPr>
                <w:rFonts w:ascii="Times New Roman" w:hAnsi="Times New Roman" w:cs="Times New Roman"/>
                <w:sz w:val="24"/>
                <w:szCs w:val="24"/>
                <w:lang w:val="en-US"/>
              </w:rPr>
              <w:t xml:space="preserve"> </w:t>
            </w:r>
          </w:p>
          <w:p w:rsidR="00F77C8D" w:rsidRPr="00AC1B65" w:rsidRDefault="00F77C8D" w:rsidP="00AC1B65">
            <w:pPr>
              <w:pStyle w:val="Odsekzoznamu"/>
              <w:numPr>
                <w:ilvl w:val="0"/>
                <w:numId w:val="18"/>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rPr>
              <w:t>break of obligations within appraisal of transactions</w:t>
            </w:r>
          </w:p>
          <w:p w:rsidR="00F77C8D" w:rsidRPr="00AC1B65" w:rsidRDefault="00F77C8D" w:rsidP="00AC1B65">
            <w:pPr>
              <w:pStyle w:val="Odsekzoznamu"/>
              <w:numPr>
                <w:ilvl w:val="0"/>
                <w:numId w:val="18"/>
              </w:numPr>
              <w:spacing w:after="0"/>
              <w:rPr>
                <w:rFonts w:ascii="Times New Roman" w:hAnsi="Times New Roman" w:cs="Times New Roman"/>
                <w:sz w:val="24"/>
                <w:szCs w:val="24"/>
                <w:lang w:val="en-US" w:eastAsia="sk-SK"/>
              </w:rPr>
            </w:pPr>
            <w:r w:rsidRPr="00AC1B65">
              <w:rPr>
                <w:rFonts w:ascii="Times New Roman" w:hAnsi="Times New Roman" w:cs="Times New Roman"/>
                <w:sz w:val="24"/>
                <w:szCs w:val="24"/>
                <w:lang w:val="en-US" w:eastAsia="sk-SK"/>
              </w:rPr>
              <w:t>shortcomings in UTRs</w:t>
            </w:r>
          </w:p>
        </w:tc>
      </w:tr>
      <w:tr w:rsidR="00F77C8D" w:rsidRPr="003B627A" w:rsidTr="00F77C8D">
        <w:trPr>
          <w:trHeight w:val="528"/>
        </w:trPr>
        <w:tc>
          <w:tcPr>
            <w:tcW w:w="3647" w:type="dxa"/>
            <w:vAlign w:val="center"/>
          </w:tcPr>
          <w:p w:rsidR="00F77C8D" w:rsidRPr="003B627A" w:rsidRDefault="00F77C8D" w:rsidP="00F77C8D">
            <w:pPr>
              <w:spacing w:after="0"/>
              <w:rPr>
                <w:rFonts w:ascii="Times New Roman" w:hAnsi="Times New Roman" w:cs="Times New Roman"/>
                <w:b/>
                <w:bCs/>
                <w:sz w:val="24"/>
                <w:szCs w:val="24"/>
                <w:lang w:val="en-US" w:eastAsia="sk-SK"/>
              </w:rPr>
            </w:pPr>
            <w:r w:rsidRPr="003B627A">
              <w:rPr>
                <w:rFonts w:ascii="Times New Roman" w:hAnsi="Times New Roman" w:cs="Times New Roman"/>
                <w:b/>
                <w:bCs/>
                <w:sz w:val="24"/>
                <w:szCs w:val="24"/>
                <w:lang w:val="en-US" w:eastAsia="sk-SK"/>
              </w:rPr>
              <w:t>Summary:</w:t>
            </w:r>
          </w:p>
        </w:tc>
        <w:tc>
          <w:tcPr>
            <w:tcW w:w="994" w:type="dxa"/>
            <w:vAlign w:val="center"/>
          </w:tcPr>
          <w:p w:rsidR="00F77C8D" w:rsidRPr="003B627A" w:rsidRDefault="00F77C8D" w:rsidP="00F77C8D">
            <w:pPr>
              <w:spacing w:after="0"/>
              <w:jc w:val="center"/>
              <w:rPr>
                <w:rFonts w:ascii="Times New Roman" w:hAnsi="Times New Roman" w:cs="Times New Roman"/>
                <w:b/>
                <w:bCs/>
                <w:sz w:val="24"/>
                <w:szCs w:val="24"/>
                <w:lang w:val="en-US" w:eastAsia="sk-SK"/>
              </w:rPr>
            </w:pPr>
            <w:r w:rsidRPr="003B627A">
              <w:rPr>
                <w:rFonts w:ascii="Times New Roman" w:hAnsi="Times New Roman" w:cs="Times New Roman"/>
                <w:b/>
                <w:bCs/>
                <w:sz w:val="24"/>
                <w:szCs w:val="24"/>
                <w:lang w:val="en-US" w:eastAsia="sk-SK"/>
              </w:rPr>
              <w:t>14</w:t>
            </w:r>
          </w:p>
        </w:tc>
        <w:tc>
          <w:tcPr>
            <w:tcW w:w="4179" w:type="dxa"/>
          </w:tcPr>
          <w:p w:rsidR="00F77C8D" w:rsidRPr="003B627A" w:rsidRDefault="00F77C8D" w:rsidP="00F77C8D">
            <w:pPr>
              <w:tabs>
                <w:tab w:val="num" w:pos="369"/>
              </w:tabs>
              <w:spacing w:after="0"/>
              <w:ind w:left="369" w:hanging="360"/>
              <w:rPr>
                <w:rFonts w:ascii="Times New Roman" w:hAnsi="Times New Roman" w:cs="Times New Roman"/>
                <w:b/>
                <w:bCs/>
                <w:sz w:val="24"/>
                <w:szCs w:val="24"/>
                <w:lang w:val="en-US" w:eastAsia="sk-SK"/>
              </w:rPr>
            </w:pPr>
          </w:p>
        </w:tc>
      </w:tr>
    </w:tbl>
    <w:p w:rsidR="00F77C8D" w:rsidRPr="003B627A" w:rsidRDefault="00F77C8D" w:rsidP="00F77C8D">
      <w:pPr>
        <w:suppressAutoHyphens/>
        <w:spacing w:after="0"/>
        <w:jc w:val="both"/>
        <w:rPr>
          <w:rFonts w:ascii="Times New Roman" w:hAnsi="Times New Roman" w:cs="Times New Roman"/>
          <w:sz w:val="24"/>
          <w:szCs w:val="24"/>
          <w:lang w:val="en-US"/>
        </w:rPr>
      </w:pPr>
    </w:p>
    <w:p w:rsidR="00F77C8D" w:rsidRPr="003B627A" w:rsidRDefault="00F77C8D" w:rsidP="00F77C8D">
      <w:pPr>
        <w:suppressAutoHyphens/>
        <w:spacing w:after="100" w:afterAutospacing="1" w:line="240" w:lineRule="auto"/>
        <w:ind w:firstLine="709"/>
        <w:jc w:val="both"/>
        <w:rPr>
          <w:rFonts w:ascii="Times New Roman" w:hAnsi="Times New Roman" w:cs="Times New Roman"/>
          <w:sz w:val="24"/>
          <w:szCs w:val="24"/>
          <w:lang w:val="en-US" w:eastAsia="sk-SK"/>
        </w:rPr>
      </w:pPr>
      <w:r w:rsidRPr="003B627A">
        <w:rPr>
          <w:rFonts w:ascii="Times New Roman" w:hAnsi="Times New Roman" w:cs="Times New Roman"/>
          <w:sz w:val="24"/>
          <w:szCs w:val="24"/>
          <w:lang w:val="en-US" w:eastAsia="sk-SK"/>
        </w:rPr>
        <w:t xml:space="preserve">The performed analysis of the control findings indicates an evident insufficient level of legal knowledge of obliged entities except for most of the providers of loans. Therefor the controls are aimed not only at detection of shortcomings of compliance to obligations of obliged entities stipulated by </w:t>
      </w:r>
      <w:r w:rsidR="00AC1B65">
        <w:rPr>
          <w:rFonts w:ascii="Times New Roman" w:hAnsi="Times New Roman" w:cs="Times New Roman"/>
          <w:sz w:val="24"/>
          <w:szCs w:val="24"/>
        </w:rPr>
        <w:t>AML/CFT Law</w:t>
      </w:r>
      <w:r w:rsidRPr="003B627A">
        <w:rPr>
          <w:rFonts w:ascii="Times New Roman" w:hAnsi="Times New Roman" w:cs="Times New Roman"/>
          <w:sz w:val="24"/>
          <w:szCs w:val="24"/>
          <w:lang w:val="en-US" w:eastAsia="sk-SK"/>
        </w:rPr>
        <w:t xml:space="preserve">, but also at guidance of obliged entities by application of </w:t>
      </w:r>
      <w:r w:rsidR="00AC1B65">
        <w:rPr>
          <w:rFonts w:ascii="Times New Roman" w:hAnsi="Times New Roman" w:cs="Times New Roman"/>
          <w:sz w:val="24"/>
          <w:szCs w:val="24"/>
        </w:rPr>
        <w:t>AML/CFT Law</w:t>
      </w:r>
      <w:r w:rsidR="00AC1B65" w:rsidRPr="003B627A">
        <w:rPr>
          <w:rFonts w:ascii="Times New Roman" w:hAnsi="Times New Roman" w:cs="Times New Roman"/>
          <w:sz w:val="24"/>
          <w:szCs w:val="24"/>
          <w:lang w:val="en-US" w:eastAsia="ar-SA"/>
        </w:rPr>
        <w:t xml:space="preserve"> </w:t>
      </w:r>
      <w:r w:rsidRPr="003B627A">
        <w:rPr>
          <w:rFonts w:ascii="Times New Roman" w:hAnsi="Times New Roman" w:cs="Times New Roman"/>
          <w:sz w:val="24"/>
          <w:szCs w:val="24"/>
          <w:lang w:val="en-US" w:eastAsia="sk-SK"/>
        </w:rPr>
        <w:t xml:space="preserve">and at searching for optimal solutions </w:t>
      </w:r>
      <w:r>
        <w:rPr>
          <w:rFonts w:ascii="Times New Roman" w:hAnsi="Times New Roman" w:cs="Times New Roman"/>
          <w:sz w:val="24"/>
          <w:szCs w:val="24"/>
          <w:lang w:val="en-US" w:eastAsia="sk-SK"/>
        </w:rPr>
        <w:t>for</w:t>
      </w:r>
      <w:r w:rsidRPr="003B627A">
        <w:rPr>
          <w:rFonts w:ascii="Times New Roman" w:hAnsi="Times New Roman" w:cs="Times New Roman"/>
          <w:sz w:val="24"/>
          <w:szCs w:val="24"/>
          <w:lang w:val="en-US" w:eastAsia="sk-SK"/>
        </w:rPr>
        <w:t xml:space="preserve"> the detected shortcomings especially in relation to program of own activity, customer due diligence and consideration of transactions according to </w:t>
      </w:r>
      <w:r w:rsidR="00AC1B65">
        <w:rPr>
          <w:rFonts w:ascii="Times New Roman" w:hAnsi="Times New Roman" w:cs="Times New Roman"/>
          <w:sz w:val="24"/>
          <w:szCs w:val="24"/>
        </w:rPr>
        <w:t>AML/CFT Law</w:t>
      </w:r>
      <w:r w:rsidRPr="003B627A">
        <w:rPr>
          <w:rFonts w:ascii="Times New Roman" w:hAnsi="Times New Roman" w:cs="Times New Roman"/>
          <w:sz w:val="24"/>
          <w:szCs w:val="24"/>
          <w:lang w:val="en-US" w:eastAsia="sk-SK"/>
        </w:rPr>
        <w:t xml:space="preserve">. </w:t>
      </w:r>
    </w:p>
    <w:p w:rsidR="00F77C8D" w:rsidRPr="000338CE" w:rsidRDefault="00F77C8D" w:rsidP="00F77C8D">
      <w:pPr>
        <w:pStyle w:val="Odsekzoznamu"/>
        <w:suppressAutoHyphens/>
        <w:spacing w:before="100" w:beforeAutospacing="1" w:after="100" w:afterAutospacing="1" w:line="240" w:lineRule="auto"/>
        <w:ind w:left="0" w:firstLine="709"/>
        <w:jc w:val="both"/>
        <w:rPr>
          <w:rFonts w:ascii="Times New Roman" w:hAnsi="Times New Roman" w:cs="Times New Roman"/>
          <w:sz w:val="24"/>
          <w:szCs w:val="24"/>
          <w:lang w:val="en-US" w:eastAsia="sk-SK"/>
        </w:rPr>
      </w:pPr>
      <w:r w:rsidRPr="000338CE">
        <w:rPr>
          <w:rFonts w:ascii="Times New Roman" w:hAnsi="Times New Roman" w:cs="Times New Roman"/>
          <w:sz w:val="24"/>
          <w:szCs w:val="24"/>
          <w:lang w:val="en-US" w:eastAsia="sk-SK"/>
        </w:rPr>
        <w:lastRenderedPageBreak/>
        <w:t xml:space="preserve">Within cooperation with obliged entities FSJ </w:t>
      </w:r>
      <w:r w:rsidR="0007463C">
        <w:rPr>
          <w:rFonts w:ascii="Times New Roman" w:hAnsi="Times New Roman" w:cs="Times New Roman"/>
          <w:sz w:val="24"/>
          <w:szCs w:val="24"/>
          <w:lang w:val="en-US" w:eastAsia="sk-SK"/>
        </w:rPr>
        <w:t>p</w:t>
      </w:r>
      <w:r w:rsidRPr="000338CE">
        <w:rPr>
          <w:rFonts w:ascii="Times New Roman" w:hAnsi="Times New Roman" w:cs="Times New Roman"/>
          <w:sz w:val="24"/>
          <w:szCs w:val="24"/>
          <w:lang w:val="en-US" w:eastAsia="sk-SK"/>
        </w:rPr>
        <w:t xml:space="preserve">rovides regulations and viewpoints on particular application problems </w:t>
      </w:r>
      <w:r>
        <w:rPr>
          <w:rFonts w:ascii="Times New Roman" w:hAnsi="Times New Roman" w:cs="Times New Roman"/>
          <w:sz w:val="24"/>
          <w:szCs w:val="24"/>
          <w:lang w:val="en-US" w:eastAsia="sk-SK"/>
        </w:rPr>
        <w:t>through</w:t>
      </w:r>
      <w:r w:rsidRPr="000338CE">
        <w:rPr>
          <w:rFonts w:ascii="Times New Roman" w:hAnsi="Times New Roman" w:cs="Times New Roman"/>
          <w:sz w:val="24"/>
          <w:szCs w:val="24"/>
          <w:lang w:val="en-US" w:eastAsia="sk-SK"/>
        </w:rPr>
        <w:t xml:space="preserve"> the website of FSJ and also directly by sending them in written form straight to the requesting entity. The highest amount of requests for viewpoints on interpretation of the AML/CFT Law</w:t>
      </w:r>
      <w:r>
        <w:rPr>
          <w:rFonts w:ascii="Times New Roman" w:hAnsi="Times New Roman" w:cs="Times New Roman"/>
          <w:sz w:val="24"/>
          <w:szCs w:val="24"/>
          <w:lang w:val="en-US" w:eastAsia="sk-SK"/>
        </w:rPr>
        <w:t xml:space="preserve"> application</w:t>
      </w:r>
      <w:r w:rsidRPr="000338CE">
        <w:rPr>
          <w:rFonts w:ascii="Times New Roman" w:hAnsi="Times New Roman" w:cs="Times New Roman"/>
          <w:sz w:val="24"/>
          <w:szCs w:val="24"/>
          <w:lang w:val="en-US" w:eastAsia="sk-SK"/>
        </w:rPr>
        <w:t xml:space="preserve"> in the reviewed period was </w:t>
      </w:r>
      <w:r>
        <w:rPr>
          <w:rFonts w:ascii="Times New Roman" w:hAnsi="Times New Roman" w:cs="Times New Roman"/>
          <w:sz w:val="24"/>
          <w:szCs w:val="24"/>
          <w:lang w:val="en-US" w:eastAsia="sk-SK"/>
        </w:rPr>
        <w:t>sent</w:t>
      </w:r>
      <w:r w:rsidRPr="000338CE">
        <w:rPr>
          <w:rFonts w:ascii="Times New Roman" w:hAnsi="Times New Roman" w:cs="Times New Roman"/>
          <w:sz w:val="24"/>
          <w:szCs w:val="24"/>
          <w:lang w:val="en-US" w:eastAsia="sk-SK"/>
        </w:rPr>
        <w:t xml:space="preserve"> from advocates and National bank of Slovakia in connection with licensing the payment institutions.</w:t>
      </w:r>
    </w:p>
    <w:p w:rsidR="00F77C8D" w:rsidRPr="000338CE" w:rsidRDefault="00F77C8D" w:rsidP="00F77C8D">
      <w:pPr>
        <w:pStyle w:val="Odsekzoznamu"/>
        <w:suppressAutoHyphens/>
        <w:spacing w:before="100" w:beforeAutospacing="1" w:after="0" w:line="240" w:lineRule="auto"/>
        <w:ind w:left="0" w:firstLine="709"/>
        <w:jc w:val="both"/>
        <w:rPr>
          <w:rFonts w:ascii="Times New Roman" w:hAnsi="Times New Roman" w:cs="Times New Roman"/>
          <w:sz w:val="24"/>
          <w:szCs w:val="24"/>
          <w:lang w:val="en-US" w:eastAsia="sk-SK"/>
        </w:rPr>
      </w:pPr>
      <w:r w:rsidRPr="000338CE">
        <w:rPr>
          <w:rFonts w:ascii="Times New Roman" w:hAnsi="Times New Roman" w:cs="Times New Roman"/>
          <w:sz w:val="24"/>
          <w:szCs w:val="24"/>
          <w:lang w:val="en-US" w:eastAsia="sk-SK"/>
        </w:rPr>
        <w:t xml:space="preserve">In purpose of </w:t>
      </w:r>
      <w:r>
        <w:rPr>
          <w:rFonts w:ascii="Times New Roman" w:hAnsi="Times New Roman" w:cs="Times New Roman"/>
          <w:sz w:val="24"/>
          <w:szCs w:val="24"/>
          <w:lang w:val="en-US" w:eastAsia="sk-SK"/>
        </w:rPr>
        <w:t xml:space="preserve">the </w:t>
      </w:r>
      <w:r w:rsidRPr="000338CE">
        <w:rPr>
          <w:rFonts w:ascii="Times New Roman" w:hAnsi="Times New Roman" w:cs="Times New Roman"/>
          <w:sz w:val="24"/>
          <w:szCs w:val="24"/>
          <w:lang w:val="en-US" w:eastAsia="sk-SK"/>
        </w:rPr>
        <w:t xml:space="preserve">elimination of differences in </w:t>
      </w:r>
      <w:r>
        <w:rPr>
          <w:rFonts w:ascii="Times New Roman" w:hAnsi="Times New Roman" w:cs="Times New Roman"/>
          <w:sz w:val="24"/>
          <w:szCs w:val="24"/>
          <w:lang w:val="en-US" w:eastAsia="sk-SK"/>
        </w:rPr>
        <w:t>the application of</w:t>
      </w:r>
      <w:r w:rsidRPr="000338CE">
        <w:rPr>
          <w:rFonts w:ascii="Times New Roman" w:hAnsi="Times New Roman" w:cs="Times New Roman"/>
          <w:sz w:val="24"/>
          <w:szCs w:val="24"/>
          <w:lang w:val="en-US" w:eastAsia="sk-SK"/>
        </w:rPr>
        <w:t xml:space="preserve"> the AML/CFT Law, FSJ organized in 2013 two</w:t>
      </w:r>
      <w:r>
        <w:rPr>
          <w:rFonts w:ascii="Times New Roman" w:hAnsi="Times New Roman" w:cs="Times New Roman"/>
          <w:sz w:val="24"/>
          <w:szCs w:val="24"/>
          <w:lang w:val="en-US" w:eastAsia="sk-SK"/>
        </w:rPr>
        <w:t xml:space="preserve"> training</w:t>
      </w:r>
      <w:r w:rsidRPr="000338CE">
        <w:rPr>
          <w:rFonts w:ascii="Times New Roman" w:hAnsi="Times New Roman" w:cs="Times New Roman"/>
          <w:sz w:val="24"/>
          <w:szCs w:val="24"/>
          <w:lang w:val="en-US" w:eastAsia="sk-SK"/>
        </w:rPr>
        <w:t xml:space="preserve"> courses at the Slovak bank association. FSJ plans to intensify these edifying activities in the following period.</w:t>
      </w:r>
    </w:p>
    <w:p w:rsidR="00F77C8D" w:rsidRPr="000338CE" w:rsidRDefault="00F77C8D" w:rsidP="00F77C8D">
      <w:pPr>
        <w:spacing w:after="0"/>
        <w:jc w:val="both"/>
        <w:rPr>
          <w:rFonts w:ascii="Times New Roman" w:hAnsi="Times New Roman" w:cs="Times New Roman"/>
          <w:sz w:val="24"/>
          <w:szCs w:val="24"/>
          <w:lang w:val="en-US"/>
        </w:rPr>
      </w:pPr>
    </w:p>
    <w:p w:rsidR="00F77C8D" w:rsidRPr="000338CE" w:rsidRDefault="00F77C8D" w:rsidP="00F77C8D">
      <w:pPr>
        <w:pStyle w:val="Nadpis1"/>
        <w:ind w:firstLine="720"/>
        <w:rPr>
          <w:rFonts w:ascii="Times New Roman" w:hAnsi="Times New Roman" w:cs="Times New Roman"/>
          <w:sz w:val="28"/>
          <w:szCs w:val="28"/>
          <w:lang w:val="en-US"/>
        </w:rPr>
      </w:pPr>
      <w:bookmarkStart w:id="31" w:name="_Toc382129837"/>
      <w:bookmarkStart w:id="32" w:name="_Toc382129999"/>
      <w:bookmarkStart w:id="33" w:name="_Toc382130530"/>
      <w:bookmarkStart w:id="34" w:name="_Toc382141489"/>
      <w:bookmarkStart w:id="35" w:name="_Toc382141686"/>
      <w:r w:rsidRPr="000338CE">
        <w:rPr>
          <w:rFonts w:ascii="Times New Roman" w:hAnsi="Times New Roman" w:cs="Times New Roman"/>
          <w:sz w:val="28"/>
          <w:szCs w:val="28"/>
          <w:lang w:val="en-US"/>
        </w:rPr>
        <w:t xml:space="preserve">4. </w:t>
      </w:r>
      <w:bookmarkEnd w:id="31"/>
      <w:bookmarkEnd w:id="32"/>
      <w:bookmarkEnd w:id="33"/>
      <w:bookmarkEnd w:id="34"/>
      <w:bookmarkEnd w:id="35"/>
      <w:r w:rsidRPr="000338CE">
        <w:rPr>
          <w:rFonts w:ascii="Times New Roman" w:hAnsi="Times New Roman" w:cs="Times New Roman"/>
          <w:sz w:val="28"/>
          <w:szCs w:val="28"/>
          <w:lang w:val="en-US"/>
        </w:rPr>
        <w:t>International cooperation</w:t>
      </w:r>
    </w:p>
    <w:p w:rsidR="00F77C8D" w:rsidRPr="000338CE" w:rsidRDefault="00F77C8D" w:rsidP="00F77C8D">
      <w:pPr>
        <w:spacing w:after="0"/>
        <w:jc w:val="both"/>
        <w:rPr>
          <w:rFonts w:ascii="Times New Roman" w:hAnsi="Times New Roman" w:cs="Times New Roman"/>
          <w:sz w:val="24"/>
          <w:szCs w:val="24"/>
          <w:lang w:val="en-US"/>
        </w:rPr>
      </w:pPr>
    </w:p>
    <w:p w:rsidR="00F77C8D" w:rsidRPr="000338CE" w:rsidRDefault="00F77C8D" w:rsidP="00F77C8D">
      <w:pPr>
        <w:spacing w:after="100" w:afterAutospacing="1" w:line="240" w:lineRule="auto"/>
        <w:ind w:firstLine="709"/>
        <w:jc w:val="both"/>
        <w:rPr>
          <w:rFonts w:ascii="Times New Roman" w:hAnsi="Times New Roman" w:cs="Times New Roman"/>
          <w:sz w:val="24"/>
          <w:szCs w:val="24"/>
          <w:lang w:val="en-US"/>
        </w:rPr>
      </w:pPr>
      <w:r w:rsidRPr="000338CE">
        <w:rPr>
          <w:rFonts w:ascii="Times New Roman" w:hAnsi="Times New Roman" w:cs="Times New Roman"/>
          <w:sz w:val="24"/>
          <w:szCs w:val="24"/>
          <w:lang w:val="en-US"/>
        </w:rPr>
        <w:t xml:space="preserve">Exchange of information on an international level is the essential part of successful fight against legalization of proceeds </w:t>
      </w:r>
      <w:r>
        <w:rPr>
          <w:rFonts w:ascii="Times New Roman" w:hAnsi="Times New Roman" w:cs="Times New Roman"/>
          <w:sz w:val="24"/>
          <w:szCs w:val="24"/>
          <w:lang w:val="en-US"/>
        </w:rPr>
        <w:t>from crime</w:t>
      </w:r>
      <w:r w:rsidRPr="000338CE">
        <w:rPr>
          <w:rFonts w:ascii="Times New Roman" w:hAnsi="Times New Roman" w:cs="Times New Roman"/>
          <w:sz w:val="24"/>
          <w:szCs w:val="24"/>
          <w:lang w:val="en-US"/>
        </w:rPr>
        <w:t xml:space="preserve"> and terrorist financing. Within FSJ this area is covered by the staff of International Cooperation Department whose aim is to constantly consolidate and develop international cooperation between FIUs from </w:t>
      </w:r>
      <w:r>
        <w:rPr>
          <w:rFonts w:ascii="Times New Roman" w:hAnsi="Times New Roman" w:cs="Times New Roman"/>
          <w:sz w:val="24"/>
          <w:szCs w:val="24"/>
          <w:lang w:val="en-US"/>
        </w:rPr>
        <w:t xml:space="preserve">and </w:t>
      </w:r>
      <w:r w:rsidRPr="000338CE">
        <w:rPr>
          <w:rFonts w:ascii="Times New Roman" w:hAnsi="Times New Roman" w:cs="Times New Roman"/>
          <w:sz w:val="24"/>
          <w:szCs w:val="24"/>
          <w:lang w:val="en-US"/>
        </w:rPr>
        <w:t xml:space="preserve">around the world. </w:t>
      </w:r>
    </w:p>
    <w:p w:rsidR="00F77C8D" w:rsidRPr="000338CE" w:rsidRDefault="00F77C8D" w:rsidP="00F77C8D">
      <w:pPr>
        <w:spacing w:before="100" w:beforeAutospacing="1" w:after="100" w:afterAutospacing="1"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0338CE">
        <w:rPr>
          <w:rFonts w:ascii="Times New Roman" w:hAnsi="Times New Roman" w:cs="Times New Roman"/>
          <w:sz w:val="24"/>
          <w:szCs w:val="24"/>
          <w:lang w:val="en-US"/>
        </w:rPr>
        <w:t xml:space="preserve">ommunication with foreign FIUs is </w:t>
      </w:r>
      <w:r>
        <w:rPr>
          <w:rFonts w:ascii="Times New Roman" w:hAnsi="Times New Roman" w:cs="Times New Roman"/>
          <w:sz w:val="24"/>
          <w:szCs w:val="24"/>
          <w:lang w:val="en-US"/>
        </w:rPr>
        <w:t>carried out</w:t>
      </w:r>
      <w:r w:rsidRPr="000338CE">
        <w:rPr>
          <w:rFonts w:ascii="Times New Roman" w:hAnsi="Times New Roman" w:cs="Times New Roman"/>
          <w:sz w:val="24"/>
          <w:szCs w:val="24"/>
          <w:lang w:val="en-US"/>
        </w:rPr>
        <w:t xml:space="preserve"> </w:t>
      </w:r>
      <w:r>
        <w:rPr>
          <w:rFonts w:ascii="Times New Roman" w:hAnsi="Times New Roman" w:cs="Times New Roman"/>
          <w:sz w:val="24"/>
          <w:szCs w:val="24"/>
          <w:lang w:val="en-US"/>
        </w:rPr>
        <w:t>through the</w:t>
      </w:r>
      <w:r w:rsidRPr="000338CE">
        <w:rPr>
          <w:rFonts w:ascii="Times New Roman" w:hAnsi="Times New Roman" w:cs="Times New Roman"/>
          <w:sz w:val="24"/>
          <w:szCs w:val="24"/>
          <w:lang w:val="en-US"/>
        </w:rPr>
        <w:t xml:space="preserve"> encrypted electronic security network ESW (Egmont Secure Web) created for this purpose by the international organization Egmont Group and </w:t>
      </w:r>
      <w:r>
        <w:rPr>
          <w:rFonts w:ascii="Times New Roman" w:hAnsi="Times New Roman" w:cs="Times New Roman"/>
          <w:sz w:val="24"/>
          <w:szCs w:val="24"/>
          <w:lang w:val="en-US"/>
        </w:rPr>
        <w:t>through</w:t>
      </w:r>
      <w:r w:rsidRPr="000338CE">
        <w:rPr>
          <w:rFonts w:ascii="Times New Roman" w:hAnsi="Times New Roman" w:cs="Times New Roman"/>
          <w:sz w:val="24"/>
          <w:szCs w:val="24"/>
          <w:lang w:val="en-US"/>
        </w:rPr>
        <w:t xml:space="preserve"> FIU.NET network.</w:t>
      </w:r>
    </w:p>
    <w:p w:rsidR="00F77C8D" w:rsidRPr="000338CE" w:rsidRDefault="00F77C8D" w:rsidP="00F77C8D">
      <w:pPr>
        <w:spacing w:before="100" w:beforeAutospacing="1" w:after="100" w:afterAutospacing="1" w:line="240" w:lineRule="auto"/>
        <w:ind w:firstLine="709"/>
        <w:jc w:val="both"/>
        <w:rPr>
          <w:rFonts w:ascii="Times New Roman" w:hAnsi="Times New Roman" w:cs="Times New Roman"/>
          <w:sz w:val="24"/>
          <w:szCs w:val="24"/>
          <w:lang w:val="en-US"/>
        </w:rPr>
      </w:pPr>
      <w:r w:rsidRPr="000338CE">
        <w:rPr>
          <w:rFonts w:ascii="Times New Roman" w:hAnsi="Times New Roman" w:cs="Times New Roman"/>
          <w:sz w:val="24"/>
          <w:szCs w:val="24"/>
          <w:lang w:val="en-US"/>
        </w:rPr>
        <w:t>At the level of FIUs associated in the EGMONT GROUP, from the total number of 139 member states</w:t>
      </w:r>
      <w:r>
        <w:rPr>
          <w:rFonts w:ascii="Times New Roman" w:hAnsi="Times New Roman" w:cs="Times New Roman"/>
          <w:sz w:val="24"/>
          <w:szCs w:val="24"/>
          <w:lang w:val="en-US"/>
        </w:rPr>
        <w:t>,</w:t>
      </w:r>
      <w:r w:rsidRPr="000338CE">
        <w:rPr>
          <w:rFonts w:ascii="Times New Roman" w:hAnsi="Times New Roman" w:cs="Times New Roman"/>
          <w:sz w:val="24"/>
          <w:szCs w:val="24"/>
          <w:lang w:val="en-US"/>
        </w:rPr>
        <w:t xml:space="preserve"> FSJ in the reviewed period carried out cooperation mainly with the FIU</w:t>
      </w:r>
      <w:r>
        <w:rPr>
          <w:rFonts w:ascii="Times New Roman" w:hAnsi="Times New Roman" w:cs="Times New Roman"/>
          <w:sz w:val="24"/>
          <w:szCs w:val="24"/>
          <w:lang w:val="en-US"/>
        </w:rPr>
        <w:t>s</w:t>
      </w:r>
      <w:r w:rsidRPr="000338CE">
        <w:rPr>
          <w:rFonts w:ascii="Times New Roman" w:hAnsi="Times New Roman" w:cs="Times New Roman"/>
          <w:sz w:val="24"/>
          <w:szCs w:val="24"/>
          <w:lang w:val="en-US"/>
        </w:rPr>
        <w:t xml:space="preserve"> of the Czech Republic, Hungary, Italy, Russian Federation and Ukraine. From the total number of 26 member states of the FIU.NET, the most frequent cooperation was carried out with the partnership FIU</w:t>
      </w:r>
      <w:r>
        <w:rPr>
          <w:rFonts w:ascii="Times New Roman" w:hAnsi="Times New Roman" w:cs="Times New Roman"/>
          <w:sz w:val="24"/>
          <w:szCs w:val="24"/>
          <w:lang w:val="en-US"/>
        </w:rPr>
        <w:t>s</w:t>
      </w:r>
      <w:r w:rsidRPr="000338CE">
        <w:rPr>
          <w:rFonts w:ascii="Times New Roman" w:hAnsi="Times New Roman" w:cs="Times New Roman"/>
          <w:sz w:val="24"/>
          <w:szCs w:val="24"/>
          <w:lang w:val="en-US"/>
        </w:rPr>
        <w:t xml:space="preserve"> of Hungary, Austria, Germany, Netherlands, Latvia, Lithuania and Poland.</w:t>
      </w:r>
    </w:p>
    <w:p w:rsidR="00F77C8D" w:rsidRPr="000338CE" w:rsidRDefault="00F77C8D" w:rsidP="00F77C8D">
      <w:pPr>
        <w:spacing w:before="100" w:beforeAutospacing="1" w:after="0" w:line="240" w:lineRule="auto"/>
        <w:ind w:firstLine="709"/>
        <w:jc w:val="both"/>
        <w:rPr>
          <w:rFonts w:ascii="Times New Roman" w:hAnsi="Times New Roman" w:cs="Times New Roman"/>
          <w:sz w:val="24"/>
          <w:szCs w:val="24"/>
          <w:lang w:val="en-US"/>
        </w:rPr>
      </w:pPr>
      <w:r w:rsidRPr="000338CE">
        <w:rPr>
          <w:rFonts w:ascii="Times New Roman" w:hAnsi="Times New Roman" w:cs="Times New Roman"/>
          <w:sz w:val="24"/>
          <w:szCs w:val="24"/>
          <w:lang w:val="en-US"/>
        </w:rPr>
        <w:t>In the process of information exchange during 2013</w:t>
      </w:r>
      <w:r>
        <w:rPr>
          <w:rFonts w:ascii="Times New Roman" w:hAnsi="Times New Roman" w:cs="Times New Roman"/>
          <w:sz w:val="24"/>
          <w:szCs w:val="24"/>
          <w:lang w:val="en-US"/>
        </w:rPr>
        <w:t>,</w:t>
      </w:r>
      <w:r w:rsidRPr="000338CE">
        <w:rPr>
          <w:rFonts w:ascii="Times New Roman" w:hAnsi="Times New Roman" w:cs="Times New Roman"/>
          <w:sz w:val="24"/>
          <w:szCs w:val="24"/>
          <w:lang w:val="en-US"/>
        </w:rPr>
        <w:t xml:space="preserve"> FSJ sent 250 requests for information to foreign FIUs. FSJ processed 258 requests submitted by foreign FIUs. FSJ </w:t>
      </w:r>
      <w:r w:rsidR="0007463C">
        <w:rPr>
          <w:rFonts w:ascii="Times New Roman" w:hAnsi="Times New Roman" w:cs="Times New Roman"/>
          <w:sz w:val="24"/>
          <w:szCs w:val="24"/>
          <w:lang w:val="en-US"/>
        </w:rPr>
        <w:t>r</w:t>
      </w:r>
      <w:r w:rsidRPr="000338CE">
        <w:rPr>
          <w:rFonts w:ascii="Times New Roman" w:hAnsi="Times New Roman" w:cs="Times New Roman"/>
          <w:sz w:val="24"/>
          <w:szCs w:val="24"/>
          <w:lang w:val="en-US"/>
        </w:rPr>
        <w:t xml:space="preserve">eceived 78 spontaneous information and 293 spontaneous information were sent by FSJ to foreign FIUs. </w:t>
      </w:r>
      <w:r w:rsidRPr="000338CE">
        <w:rPr>
          <w:rFonts w:ascii="Times New Roman" w:hAnsi="Times New Roman" w:cs="Times New Roman"/>
          <w:i/>
          <w:sz w:val="24"/>
          <w:szCs w:val="24"/>
          <w:lang w:val="en-US"/>
        </w:rPr>
        <w:t>(Spontaneous information is information which is</w:t>
      </w:r>
      <w:r w:rsidR="0007463C">
        <w:rPr>
          <w:rFonts w:ascii="Times New Roman" w:hAnsi="Times New Roman" w:cs="Times New Roman"/>
          <w:i/>
          <w:sz w:val="24"/>
          <w:szCs w:val="24"/>
          <w:lang w:val="en-US"/>
        </w:rPr>
        <w:t>, from the point of view of FSJ</w:t>
      </w:r>
      <w:r w:rsidRPr="000338CE">
        <w:rPr>
          <w:rFonts w:ascii="Times New Roman" w:hAnsi="Times New Roman" w:cs="Times New Roman"/>
          <w:i/>
          <w:sz w:val="24"/>
          <w:szCs w:val="24"/>
          <w:lang w:val="en-US"/>
        </w:rPr>
        <w:t>, usable within activities of</w:t>
      </w:r>
      <w:r>
        <w:rPr>
          <w:rFonts w:ascii="Times New Roman" w:hAnsi="Times New Roman" w:cs="Times New Roman"/>
          <w:i/>
          <w:sz w:val="24"/>
          <w:szCs w:val="24"/>
          <w:lang w:val="en-US"/>
        </w:rPr>
        <w:t xml:space="preserve"> a</w:t>
      </w:r>
      <w:r w:rsidRPr="000338CE">
        <w:rPr>
          <w:rFonts w:ascii="Times New Roman" w:hAnsi="Times New Roman" w:cs="Times New Roman"/>
          <w:i/>
          <w:sz w:val="24"/>
          <w:szCs w:val="24"/>
          <w:lang w:val="en-US"/>
        </w:rPr>
        <w:t xml:space="preserve"> foreign FIU.)</w:t>
      </w:r>
    </w:p>
    <w:p w:rsidR="00F77C8D" w:rsidRDefault="00F77C8D" w:rsidP="00F77C8D">
      <w:pPr>
        <w:spacing w:after="120"/>
        <w:jc w:val="both"/>
        <w:rPr>
          <w:sz w:val="20"/>
          <w:lang w:val="en-US"/>
        </w:rPr>
      </w:pPr>
    </w:p>
    <w:p w:rsidR="00F77C8D" w:rsidRPr="002416AB" w:rsidRDefault="00F77C8D" w:rsidP="00F77C8D">
      <w:pPr>
        <w:spacing w:after="120"/>
        <w:jc w:val="both"/>
        <w:rPr>
          <w:rFonts w:ascii="Times New Roman" w:hAnsi="Times New Roman" w:cs="Times New Roman"/>
          <w:sz w:val="20"/>
          <w:lang w:val="en-US"/>
        </w:rPr>
      </w:pPr>
      <w:r w:rsidRPr="002416AB">
        <w:rPr>
          <w:rFonts w:ascii="Times New Roman" w:hAnsi="Times New Roman" w:cs="Times New Roman"/>
          <w:sz w:val="20"/>
          <w:lang w:val="en-US"/>
        </w:rPr>
        <w:t>Chart No. 11: Summary of selected activities performed by the International Cooperation Department between 2010 – 2013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843"/>
        <w:gridCol w:w="2126"/>
        <w:gridCol w:w="1985"/>
        <w:gridCol w:w="2441"/>
      </w:tblGrid>
      <w:tr w:rsidR="00F77C8D" w:rsidRPr="000338CE" w:rsidTr="0006728A">
        <w:trPr>
          <w:trHeight w:val="1432"/>
        </w:trPr>
        <w:tc>
          <w:tcPr>
            <w:tcW w:w="709" w:type="dxa"/>
          </w:tcPr>
          <w:p w:rsidR="00F77C8D" w:rsidRPr="000338CE" w:rsidRDefault="00F77C8D" w:rsidP="00F77C8D">
            <w:pPr>
              <w:spacing w:after="0"/>
              <w:jc w:val="both"/>
              <w:rPr>
                <w:rFonts w:ascii="Times New Roman" w:hAnsi="Times New Roman" w:cs="Times New Roman"/>
                <w:b/>
                <w:bCs/>
                <w:sz w:val="18"/>
                <w:szCs w:val="18"/>
                <w:lang w:val="en-US"/>
              </w:rPr>
            </w:pPr>
          </w:p>
          <w:p w:rsidR="00F77C8D" w:rsidRPr="000338CE" w:rsidRDefault="00F77C8D" w:rsidP="00F77C8D">
            <w:pPr>
              <w:spacing w:after="0"/>
              <w:jc w:val="both"/>
              <w:rPr>
                <w:rFonts w:ascii="Times New Roman" w:hAnsi="Times New Roman" w:cs="Times New Roman"/>
                <w:sz w:val="20"/>
                <w:szCs w:val="20"/>
                <w:lang w:val="en-US"/>
              </w:rPr>
            </w:pPr>
          </w:p>
        </w:tc>
        <w:tc>
          <w:tcPr>
            <w:tcW w:w="1843" w:type="dxa"/>
          </w:tcPr>
          <w:p w:rsidR="00F77C8D" w:rsidRPr="002416AB" w:rsidRDefault="00F77C8D" w:rsidP="00F77C8D">
            <w:pPr>
              <w:spacing w:after="0"/>
              <w:jc w:val="center"/>
              <w:rPr>
                <w:rFonts w:ascii="Times New Roman" w:hAnsi="Times New Roman" w:cs="Times New Roman"/>
                <w:b/>
                <w:bCs/>
                <w:sz w:val="18"/>
                <w:szCs w:val="18"/>
                <w:lang w:val="en-US"/>
              </w:rPr>
            </w:pPr>
          </w:p>
          <w:p w:rsidR="00F77C8D" w:rsidRPr="002416AB" w:rsidRDefault="00F77C8D" w:rsidP="00F77C8D">
            <w:pPr>
              <w:spacing w:after="0"/>
              <w:jc w:val="center"/>
              <w:rPr>
                <w:rFonts w:ascii="Times New Roman" w:hAnsi="Times New Roman" w:cs="Times New Roman"/>
                <w:b/>
                <w:sz w:val="18"/>
                <w:szCs w:val="18"/>
                <w:lang w:val="en-US"/>
              </w:rPr>
            </w:pPr>
          </w:p>
          <w:p w:rsidR="00F77C8D" w:rsidRPr="002416AB" w:rsidRDefault="00F77C8D" w:rsidP="00F77C8D">
            <w:pPr>
              <w:spacing w:after="0"/>
              <w:jc w:val="center"/>
              <w:rPr>
                <w:rFonts w:ascii="Times New Roman" w:hAnsi="Times New Roman" w:cs="Times New Roman"/>
                <w:sz w:val="20"/>
                <w:szCs w:val="20"/>
                <w:lang w:val="en-US"/>
              </w:rPr>
            </w:pPr>
            <w:r w:rsidRPr="002416AB">
              <w:rPr>
                <w:rFonts w:ascii="Times New Roman" w:hAnsi="Times New Roman" w:cs="Times New Roman"/>
                <w:b/>
                <w:sz w:val="18"/>
                <w:szCs w:val="18"/>
                <w:lang w:val="en-US"/>
              </w:rPr>
              <w:t>NUMBER OF REQUESTS SENT TO FOREIGN FIUs</w:t>
            </w:r>
          </w:p>
        </w:tc>
        <w:tc>
          <w:tcPr>
            <w:tcW w:w="2126" w:type="dxa"/>
          </w:tcPr>
          <w:p w:rsidR="00F77C8D" w:rsidRPr="002416AB" w:rsidRDefault="00F77C8D" w:rsidP="00F77C8D">
            <w:pPr>
              <w:spacing w:after="0"/>
              <w:jc w:val="center"/>
              <w:rPr>
                <w:rFonts w:ascii="Times New Roman" w:hAnsi="Times New Roman" w:cs="Times New Roman"/>
                <w:b/>
                <w:bCs/>
                <w:sz w:val="18"/>
                <w:szCs w:val="18"/>
                <w:lang w:val="en-US"/>
              </w:rPr>
            </w:pPr>
          </w:p>
          <w:p w:rsidR="00F77C8D" w:rsidRPr="002416AB" w:rsidRDefault="00F77C8D" w:rsidP="00F77C8D">
            <w:pPr>
              <w:spacing w:after="0"/>
              <w:jc w:val="center"/>
              <w:rPr>
                <w:rFonts w:ascii="Times New Roman" w:hAnsi="Times New Roman" w:cs="Times New Roman"/>
                <w:b/>
                <w:bCs/>
                <w:sz w:val="18"/>
                <w:szCs w:val="18"/>
                <w:lang w:val="en-US"/>
              </w:rPr>
            </w:pPr>
          </w:p>
          <w:p w:rsidR="00F77C8D" w:rsidRPr="002416AB" w:rsidRDefault="00F77C8D" w:rsidP="00F77C8D">
            <w:pPr>
              <w:spacing w:after="0"/>
              <w:jc w:val="center"/>
              <w:rPr>
                <w:rFonts w:ascii="Times New Roman" w:hAnsi="Times New Roman" w:cs="Times New Roman"/>
                <w:sz w:val="20"/>
                <w:szCs w:val="20"/>
                <w:lang w:val="en-US"/>
              </w:rPr>
            </w:pPr>
            <w:r w:rsidRPr="002416AB">
              <w:rPr>
                <w:rFonts w:ascii="Times New Roman" w:hAnsi="Times New Roman" w:cs="Times New Roman"/>
                <w:b/>
                <w:sz w:val="18"/>
                <w:szCs w:val="18"/>
                <w:lang w:val="en-US"/>
              </w:rPr>
              <w:t>NUMBER OF REQUESTS SUBMITTED BY FOREIGN FIUs</w:t>
            </w:r>
          </w:p>
        </w:tc>
        <w:tc>
          <w:tcPr>
            <w:tcW w:w="1985" w:type="dxa"/>
          </w:tcPr>
          <w:p w:rsidR="00F77C8D" w:rsidRPr="002416AB" w:rsidRDefault="00F77C8D" w:rsidP="00F77C8D">
            <w:pPr>
              <w:spacing w:after="0"/>
              <w:jc w:val="center"/>
              <w:rPr>
                <w:rFonts w:ascii="Times New Roman" w:hAnsi="Times New Roman" w:cs="Times New Roman"/>
                <w:b/>
                <w:bCs/>
                <w:sz w:val="18"/>
                <w:szCs w:val="18"/>
                <w:lang w:val="en-US"/>
              </w:rPr>
            </w:pPr>
          </w:p>
          <w:p w:rsidR="00F77C8D" w:rsidRPr="002416AB" w:rsidRDefault="00F77C8D" w:rsidP="00F77C8D">
            <w:pPr>
              <w:spacing w:after="0"/>
              <w:jc w:val="center"/>
              <w:rPr>
                <w:rFonts w:ascii="Times New Roman" w:hAnsi="Times New Roman" w:cs="Times New Roman"/>
                <w:sz w:val="20"/>
                <w:szCs w:val="20"/>
                <w:lang w:val="en-US"/>
              </w:rPr>
            </w:pPr>
          </w:p>
          <w:p w:rsidR="00F77C8D" w:rsidRPr="002416AB" w:rsidRDefault="00F77C8D" w:rsidP="00F77C8D">
            <w:pPr>
              <w:spacing w:after="120"/>
              <w:jc w:val="center"/>
              <w:rPr>
                <w:rFonts w:ascii="Times New Roman" w:hAnsi="Times New Roman" w:cs="Times New Roman"/>
                <w:b/>
                <w:sz w:val="18"/>
                <w:szCs w:val="18"/>
                <w:lang w:val="en-US"/>
              </w:rPr>
            </w:pPr>
            <w:r w:rsidRPr="002416AB">
              <w:rPr>
                <w:rFonts w:ascii="Times New Roman" w:hAnsi="Times New Roman" w:cs="Times New Roman"/>
                <w:b/>
                <w:sz w:val="18"/>
                <w:szCs w:val="18"/>
                <w:lang w:val="en-US"/>
              </w:rPr>
              <w:t>NUMBER OF SPONTANEOUS INFORMATION SENT TO FOREIGN FIUs</w:t>
            </w:r>
          </w:p>
          <w:p w:rsidR="00F77C8D" w:rsidRPr="002416AB" w:rsidRDefault="00F77C8D" w:rsidP="00F77C8D">
            <w:pPr>
              <w:spacing w:after="0"/>
              <w:jc w:val="center"/>
              <w:rPr>
                <w:rFonts w:ascii="Times New Roman" w:hAnsi="Times New Roman" w:cs="Times New Roman"/>
                <w:sz w:val="20"/>
                <w:szCs w:val="20"/>
                <w:lang w:val="en-US"/>
              </w:rPr>
            </w:pPr>
          </w:p>
        </w:tc>
        <w:tc>
          <w:tcPr>
            <w:tcW w:w="2441" w:type="dxa"/>
          </w:tcPr>
          <w:p w:rsidR="00F77C8D" w:rsidRPr="002416AB" w:rsidRDefault="00F77C8D" w:rsidP="00F77C8D">
            <w:pPr>
              <w:spacing w:after="0"/>
              <w:jc w:val="center"/>
              <w:rPr>
                <w:rFonts w:ascii="Times New Roman" w:hAnsi="Times New Roman" w:cs="Times New Roman"/>
                <w:b/>
                <w:bCs/>
                <w:sz w:val="18"/>
                <w:szCs w:val="18"/>
                <w:lang w:val="en-US"/>
              </w:rPr>
            </w:pPr>
          </w:p>
          <w:p w:rsidR="00F77C8D" w:rsidRPr="002416AB" w:rsidRDefault="00F77C8D" w:rsidP="00F77C8D">
            <w:pPr>
              <w:spacing w:after="0"/>
              <w:jc w:val="center"/>
              <w:rPr>
                <w:rFonts w:ascii="Times New Roman" w:hAnsi="Times New Roman" w:cs="Times New Roman"/>
                <w:b/>
                <w:bCs/>
                <w:sz w:val="18"/>
                <w:szCs w:val="18"/>
                <w:lang w:val="en-US"/>
              </w:rPr>
            </w:pPr>
          </w:p>
          <w:p w:rsidR="00F77C8D" w:rsidRPr="002416AB" w:rsidRDefault="00F77C8D" w:rsidP="00F77C8D">
            <w:pPr>
              <w:spacing w:after="0"/>
              <w:jc w:val="center"/>
              <w:rPr>
                <w:rFonts w:ascii="Times New Roman" w:hAnsi="Times New Roman" w:cs="Times New Roman"/>
                <w:b/>
                <w:bCs/>
                <w:sz w:val="18"/>
                <w:szCs w:val="18"/>
                <w:lang w:val="en-US"/>
              </w:rPr>
            </w:pPr>
            <w:r w:rsidRPr="002416AB">
              <w:rPr>
                <w:rFonts w:ascii="Times New Roman" w:hAnsi="Times New Roman" w:cs="Times New Roman"/>
                <w:b/>
                <w:sz w:val="18"/>
                <w:szCs w:val="18"/>
                <w:lang w:val="en-US"/>
              </w:rPr>
              <w:t>NUMBER OF INFORMATION REGARDING SLOVAK SUBJECTS SUBMITTED BY FOREIGN FIUs</w:t>
            </w:r>
          </w:p>
        </w:tc>
      </w:tr>
      <w:tr w:rsidR="00F77C8D" w:rsidRPr="000338CE" w:rsidTr="00F77C8D">
        <w:tc>
          <w:tcPr>
            <w:tcW w:w="709" w:type="dxa"/>
          </w:tcPr>
          <w:p w:rsidR="00F77C8D" w:rsidRPr="000338CE" w:rsidRDefault="00F77C8D" w:rsidP="00F77C8D">
            <w:pPr>
              <w:spacing w:after="0"/>
              <w:jc w:val="both"/>
              <w:rPr>
                <w:rFonts w:ascii="Times New Roman" w:hAnsi="Times New Roman" w:cs="Times New Roman"/>
                <w:b/>
                <w:bCs/>
                <w:sz w:val="24"/>
                <w:szCs w:val="24"/>
                <w:lang w:val="en-US"/>
              </w:rPr>
            </w:pPr>
            <w:r w:rsidRPr="000338CE">
              <w:rPr>
                <w:rFonts w:ascii="Times New Roman" w:hAnsi="Times New Roman" w:cs="Times New Roman"/>
                <w:b/>
                <w:bCs/>
                <w:sz w:val="24"/>
                <w:szCs w:val="24"/>
                <w:lang w:val="en-US"/>
              </w:rPr>
              <w:t>2012</w:t>
            </w:r>
          </w:p>
        </w:tc>
        <w:tc>
          <w:tcPr>
            <w:tcW w:w="1843" w:type="dxa"/>
          </w:tcPr>
          <w:p w:rsidR="00F77C8D" w:rsidRPr="002416AB" w:rsidRDefault="00F77C8D" w:rsidP="00F77C8D">
            <w:pPr>
              <w:spacing w:after="0"/>
              <w:jc w:val="center"/>
              <w:rPr>
                <w:rFonts w:ascii="Times New Roman" w:hAnsi="Times New Roman" w:cs="Times New Roman"/>
                <w:sz w:val="24"/>
                <w:szCs w:val="24"/>
                <w:lang w:val="en-US"/>
              </w:rPr>
            </w:pPr>
            <w:r w:rsidRPr="002416AB">
              <w:rPr>
                <w:rFonts w:ascii="Times New Roman" w:hAnsi="Times New Roman" w:cs="Times New Roman"/>
                <w:sz w:val="24"/>
                <w:szCs w:val="24"/>
                <w:lang w:val="en-US"/>
              </w:rPr>
              <w:t>436</w:t>
            </w:r>
          </w:p>
        </w:tc>
        <w:tc>
          <w:tcPr>
            <w:tcW w:w="2126" w:type="dxa"/>
          </w:tcPr>
          <w:p w:rsidR="00F77C8D" w:rsidRPr="002416AB" w:rsidRDefault="00F77C8D" w:rsidP="00F77C8D">
            <w:pPr>
              <w:spacing w:after="0"/>
              <w:jc w:val="center"/>
              <w:rPr>
                <w:rFonts w:ascii="Times New Roman" w:hAnsi="Times New Roman" w:cs="Times New Roman"/>
                <w:sz w:val="24"/>
                <w:szCs w:val="24"/>
                <w:lang w:val="en-US"/>
              </w:rPr>
            </w:pPr>
            <w:r w:rsidRPr="002416AB">
              <w:rPr>
                <w:rFonts w:ascii="Times New Roman" w:hAnsi="Times New Roman" w:cs="Times New Roman"/>
                <w:sz w:val="24"/>
                <w:szCs w:val="24"/>
                <w:lang w:val="en-US"/>
              </w:rPr>
              <w:t>147</w:t>
            </w:r>
          </w:p>
        </w:tc>
        <w:tc>
          <w:tcPr>
            <w:tcW w:w="1985" w:type="dxa"/>
          </w:tcPr>
          <w:p w:rsidR="00F77C8D" w:rsidRPr="002416AB" w:rsidRDefault="00F77C8D" w:rsidP="00F77C8D">
            <w:pPr>
              <w:spacing w:after="0"/>
              <w:jc w:val="center"/>
              <w:rPr>
                <w:rFonts w:ascii="Times New Roman" w:hAnsi="Times New Roman" w:cs="Times New Roman"/>
                <w:sz w:val="24"/>
                <w:szCs w:val="24"/>
                <w:lang w:val="en-US"/>
              </w:rPr>
            </w:pPr>
            <w:r w:rsidRPr="002416AB">
              <w:rPr>
                <w:rFonts w:ascii="Times New Roman" w:hAnsi="Times New Roman" w:cs="Times New Roman"/>
                <w:sz w:val="24"/>
                <w:szCs w:val="24"/>
                <w:lang w:val="en-US"/>
              </w:rPr>
              <w:t>363</w:t>
            </w:r>
          </w:p>
        </w:tc>
        <w:tc>
          <w:tcPr>
            <w:tcW w:w="2441" w:type="dxa"/>
          </w:tcPr>
          <w:p w:rsidR="00F77C8D" w:rsidRPr="002416AB" w:rsidRDefault="00F77C8D" w:rsidP="00F77C8D">
            <w:pPr>
              <w:spacing w:after="0"/>
              <w:jc w:val="center"/>
              <w:rPr>
                <w:rFonts w:ascii="Times New Roman" w:hAnsi="Times New Roman" w:cs="Times New Roman"/>
                <w:sz w:val="24"/>
                <w:szCs w:val="24"/>
                <w:lang w:val="en-US"/>
              </w:rPr>
            </w:pPr>
            <w:r w:rsidRPr="002416AB">
              <w:rPr>
                <w:rFonts w:ascii="Times New Roman" w:hAnsi="Times New Roman" w:cs="Times New Roman"/>
                <w:sz w:val="24"/>
                <w:szCs w:val="24"/>
                <w:lang w:val="en-US"/>
              </w:rPr>
              <w:t>93</w:t>
            </w:r>
          </w:p>
        </w:tc>
      </w:tr>
      <w:tr w:rsidR="00F77C8D" w:rsidRPr="000338CE" w:rsidTr="00F77C8D">
        <w:tc>
          <w:tcPr>
            <w:tcW w:w="709" w:type="dxa"/>
          </w:tcPr>
          <w:p w:rsidR="00F77C8D" w:rsidRPr="000338CE" w:rsidRDefault="00F77C8D" w:rsidP="00F77C8D">
            <w:pPr>
              <w:spacing w:after="0"/>
              <w:jc w:val="both"/>
              <w:rPr>
                <w:rFonts w:ascii="Times New Roman" w:hAnsi="Times New Roman" w:cs="Times New Roman"/>
                <w:b/>
                <w:bCs/>
                <w:sz w:val="24"/>
                <w:szCs w:val="24"/>
                <w:lang w:val="en-US"/>
              </w:rPr>
            </w:pPr>
            <w:r w:rsidRPr="000338CE">
              <w:rPr>
                <w:rFonts w:ascii="Times New Roman" w:hAnsi="Times New Roman" w:cs="Times New Roman"/>
                <w:b/>
                <w:bCs/>
                <w:sz w:val="24"/>
                <w:szCs w:val="24"/>
                <w:lang w:val="en-US"/>
              </w:rPr>
              <w:t>2013</w:t>
            </w:r>
          </w:p>
        </w:tc>
        <w:tc>
          <w:tcPr>
            <w:tcW w:w="1843" w:type="dxa"/>
          </w:tcPr>
          <w:p w:rsidR="00F77C8D" w:rsidRPr="002416AB" w:rsidRDefault="00F77C8D" w:rsidP="00F77C8D">
            <w:pPr>
              <w:spacing w:after="0"/>
              <w:jc w:val="center"/>
              <w:rPr>
                <w:rFonts w:ascii="Times New Roman" w:hAnsi="Times New Roman" w:cs="Times New Roman"/>
                <w:sz w:val="24"/>
                <w:szCs w:val="24"/>
                <w:lang w:val="en-US"/>
              </w:rPr>
            </w:pPr>
            <w:r w:rsidRPr="002416AB">
              <w:rPr>
                <w:rFonts w:ascii="Times New Roman" w:hAnsi="Times New Roman" w:cs="Times New Roman"/>
                <w:sz w:val="24"/>
                <w:szCs w:val="24"/>
                <w:lang w:val="en-US"/>
              </w:rPr>
              <w:t>250</w:t>
            </w:r>
          </w:p>
        </w:tc>
        <w:tc>
          <w:tcPr>
            <w:tcW w:w="2126" w:type="dxa"/>
          </w:tcPr>
          <w:p w:rsidR="00F77C8D" w:rsidRPr="002416AB" w:rsidRDefault="00F77C8D" w:rsidP="00F77C8D">
            <w:pPr>
              <w:spacing w:after="0"/>
              <w:jc w:val="center"/>
              <w:rPr>
                <w:rFonts w:ascii="Times New Roman" w:hAnsi="Times New Roman" w:cs="Times New Roman"/>
                <w:sz w:val="24"/>
                <w:szCs w:val="24"/>
                <w:lang w:val="en-US"/>
              </w:rPr>
            </w:pPr>
            <w:r w:rsidRPr="002416AB">
              <w:rPr>
                <w:rFonts w:ascii="Times New Roman" w:hAnsi="Times New Roman" w:cs="Times New Roman"/>
                <w:sz w:val="24"/>
                <w:szCs w:val="24"/>
                <w:lang w:val="en-US"/>
              </w:rPr>
              <w:t>258</w:t>
            </w:r>
          </w:p>
        </w:tc>
        <w:tc>
          <w:tcPr>
            <w:tcW w:w="1985" w:type="dxa"/>
          </w:tcPr>
          <w:p w:rsidR="00F77C8D" w:rsidRPr="002416AB" w:rsidRDefault="00F77C8D" w:rsidP="00F77C8D">
            <w:pPr>
              <w:spacing w:after="0"/>
              <w:jc w:val="center"/>
              <w:rPr>
                <w:rFonts w:ascii="Times New Roman" w:hAnsi="Times New Roman" w:cs="Times New Roman"/>
                <w:sz w:val="24"/>
                <w:szCs w:val="24"/>
                <w:lang w:val="en-US"/>
              </w:rPr>
            </w:pPr>
            <w:r w:rsidRPr="002416AB">
              <w:rPr>
                <w:rFonts w:ascii="Times New Roman" w:hAnsi="Times New Roman" w:cs="Times New Roman"/>
                <w:sz w:val="24"/>
                <w:szCs w:val="24"/>
                <w:lang w:val="en-US"/>
              </w:rPr>
              <w:t>293</w:t>
            </w:r>
          </w:p>
        </w:tc>
        <w:tc>
          <w:tcPr>
            <w:tcW w:w="2441" w:type="dxa"/>
          </w:tcPr>
          <w:p w:rsidR="00F77C8D" w:rsidRPr="002416AB" w:rsidRDefault="00F77C8D" w:rsidP="00F77C8D">
            <w:pPr>
              <w:spacing w:after="0"/>
              <w:jc w:val="center"/>
              <w:rPr>
                <w:rFonts w:ascii="Times New Roman" w:hAnsi="Times New Roman" w:cs="Times New Roman"/>
                <w:sz w:val="24"/>
                <w:szCs w:val="24"/>
                <w:lang w:val="en-US"/>
              </w:rPr>
            </w:pPr>
            <w:r w:rsidRPr="002416AB">
              <w:rPr>
                <w:rFonts w:ascii="Times New Roman" w:hAnsi="Times New Roman" w:cs="Times New Roman"/>
                <w:sz w:val="24"/>
                <w:szCs w:val="24"/>
                <w:lang w:val="en-US"/>
              </w:rPr>
              <w:t>78</w:t>
            </w:r>
          </w:p>
        </w:tc>
      </w:tr>
    </w:tbl>
    <w:p w:rsidR="00F77C8D" w:rsidRPr="000338CE" w:rsidRDefault="00F77C8D" w:rsidP="00F77C8D">
      <w:pPr>
        <w:spacing w:before="100" w:beforeAutospacing="1" w:after="100" w:afterAutospacing="1" w:line="240" w:lineRule="auto"/>
        <w:ind w:firstLine="709"/>
        <w:jc w:val="both"/>
        <w:rPr>
          <w:rFonts w:ascii="Times New Roman" w:hAnsi="Times New Roman" w:cs="Times New Roman"/>
          <w:sz w:val="24"/>
          <w:szCs w:val="24"/>
          <w:lang w:val="en-US"/>
        </w:rPr>
      </w:pPr>
      <w:r w:rsidRPr="000338CE">
        <w:rPr>
          <w:rFonts w:ascii="Times New Roman" w:hAnsi="Times New Roman" w:cs="Times New Roman"/>
          <w:sz w:val="24"/>
          <w:szCs w:val="24"/>
          <w:lang w:val="en-US"/>
        </w:rPr>
        <w:lastRenderedPageBreak/>
        <w:t>Following the above mentioned statistical data it</w:t>
      </w:r>
      <w:r w:rsidRPr="000338CE">
        <w:rPr>
          <w:lang w:val="en-US"/>
        </w:rPr>
        <w:t xml:space="preserve"> </w:t>
      </w:r>
      <w:r w:rsidRPr="000338CE">
        <w:rPr>
          <w:rFonts w:ascii="Times New Roman" w:hAnsi="Times New Roman" w:cs="Times New Roman"/>
          <w:sz w:val="24"/>
          <w:szCs w:val="24"/>
          <w:lang w:val="en-US"/>
        </w:rPr>
        <w:t>can be said that FSJ is very active in the area of international cooperation of FIUs which</w:t>
      </w:r>
      <w:r>
        <w:rPr>
          <w:rFonts w:ascii="Times New Roman" w:hAnsi="Times New Roman" w:cs="Times New Roman"/>
          <w:sz w:val="24"/>
          <w:szCs w:val="24"/>
          <w:lang w:val="en-US"/>
        </w:rPr>
        <w:t xml:space="preserve"> actively</w:t>
      </w:r>
      <w:r w:rsidRPr="000338CE">
        <w:rPr>
          <w:rFonts w:ascii="Times New Roman" w:hAnsi="Times New Roman" w:cs="Times New Roman"/>
          <w:sz w:val="24"/>
          <w:szCs w:val="24"/>
          <w:lang w:val="en-US"/>
        </w:rPr>
        <w:t xml:space="preserve"> participate in developing international cooperation in the field of AML/CFT. </w:t>
      </w:r>
    </w:p>
    <w:p w:rsidR="00F77C8D" w:rsidRPr="000338CE" w:rsidRDefault="00F77C8D" w:rsidP="00F77C8D">
      <w:pPr>
        <w:spacing w:before="100" w:beforeAutospacing="1" w:after="0" w:line="240" w:lineRule="auto"/>
        <w:ind w:firstLine="709"/>
        <w:jc w:val="both"/>
        <w:rPr>
          <w:rFonts w:ascii="Times New Roman" w:hAnsi="Times New Roman" w:cs="Times New Roman"/>
          <w:sz w:val="24"/>
          <w:szCs w:val="24"/>
          <w:lang w:val="en-US"/>
        </w:rPr>
      </w:pPr>
      <w:r w:rsidRPr="000338CE">
        <w:rPr>
          <w:rFonts w:ascii="Times New Roman" w:hAnsi="Times New Roman" w:cs="Times New Roman"/>
          <w:sz w:val="24"/>
          <w:szCs w:val="24"/>
          <w:lang w:val="en-US"/>
        </w:rPr>
        <w:t>During the reviewed period</w:t>
      </w:r>
      <w:r>
        <w:rPr>
          <w:rFonts w:ascii="Times New Roman" w:hAnsi="Times New Roman" w:cs="Times New Roman"/>
          <w:sz w:val="24"/>
          <w:szCs w:val="24"/>
          <w:lang w:val="en-US"/>
        </w:rPr>
        <w:t>,</w:t>
      </w:r>
      <w:r w:rsidRPr="000338CE">
        <w:rPr>
          <w:rFonts w:ascii="Times New Roman" w:hAnsi="Times New Roman" w:cs="Times New Roman"/>
          <w:sz w:val="24"/>
          <w:szCs w:val="24"/>
          <w:lang w:val="en-US"/>
        </w:rPr>
        <w:t xml:space="preserve"> FSJ cooperated most frequently with FIU</w:t>
      </w:r>
      <w:r>
        <w:rPr>
          <w:rFonts w:ascii="Times New Roman" w:hAnsi="Times New Roman" w:cs="Times New Roman"/>
          <w:sz w:val="24"/>
          <w:szCs w:val="24"/>
          <w:lang w:val="en-US"/>
        </w:rPr>
        <w:t>s</w:t>
      </w:r>
      <w:r w:rsidRPr="000338CE">
        <w:rPr>
          <w:rFonts w:ascii="Times New Roman" w:hAnsi="Times New Roman" w:cs="Times New Roman"/>
          <w:sz w:val="24"/>
          <w:szCs w:val="24"/>
          <w:lang w:val="en-US"/>
        </w:rPr>
        <w:t xml:space="preserve"> of Hungary, Czech Republic, Austria, Poland, Germany and Netherlands (see graphs no. 2, 3 and 4).</w:t>
      </w:r>
    </w:p>
    <w:p w:rsidR="00F77C8D" w:rsidRPr="000338CE" w:rsidRDefault="00F77C8D" w:rsidP="00F77C8D">
      <w:pPr>
        <w:spacing w:after="0"/>
        <w:jc w:val="both"/>
        <w:rPr>
          <w:rFonts w:ascii="Times New Roman" w:hAnsi="Times New Roman" w:cs="Times New Roman"/>
          <w:sz w:val="24"/>
          <w:szCs w:val="24"/>
          <w:lang w:val="en-US"/>
        </w:rPr>
      </w:pPr>
    </w:p>
    <w:p w:rsidR="00F77C8D" w:rsidRPr="000338CE" w:rsidRDefault="00F77C8D" w:rsidP="00F77C8D">
      <w:pPr>
        <w:spacing w:after="0"/>
        <w:jc w:val="both"/>
        <w:rPr>
          <w:rFonts w:ascii="Times New Roman" w:hAnsi="Times New Roman" w:cs="Times New Roman"/>
          <w:sz w:val="20"/>
          <w:szCs w:val="20"/>
          <w:lang w:val="en-US"/>
        </w:rPr>
      </w:pPr>
      <w:r w:rsidRPr="000338CE">
        <w:rPr>
          <w:rFonts w:ascii="Times New Roman" w:hAnsi="Times New Roman" w:cs="Times New Roman"/>
          <w:sz w:val="20"/>
          <w:szCs w:val="20"/>
          <w:lang w:val="en-US"/>
        </w:rPr>
        <w:t xml:space="preserve">Graph No. 2: Graphic </w:t>
      </w:r>
      <w:r>
        <w:rPr>
          <w:rFonts w:ascii="Times New Roman" w:hAnsi="Times New Roman" w:cs="Times New Roman"/>
          <w:sz w:val="20"/>
          <w:szCs w:val="20"/>
          <w:lang w:val="en-US"/>
        </w:rPr>
        <w:t>re</w:t>
      </w:r>
      <w:r w:rsidRPr="000338CE">
        <w:rPr>
          <w:rFonts w:ascii="Times New Roman" w:hAnsi="Times New Roman" w:cs="Times New Roman"/>
          <w:sz w:val="20"/>
          <w:szCs w:val="20"/>
          <w:lang w:val="en-US"/>
        </w:rPr>
        <w:t xml:space="preserve">presentation of countries which sent request for information in 2013 to FSJ </w:t>
      </w:r>
      <w:r>
        <w:rPr>
          <w:rFonts w:ascii="Times New Roman" w:hAnsi="Times New Roman" w:cs="Times New Roman"/>
          <w:sz w:val="20"/>
          <w:szCs w:val="20"/>
          <w:lang w:val="en-US"/>
        </w:rPr>
        <w:t>most frequently</w:t>
      </w:r>
    </w:p>
    <w:p w:rsidR="00F77C8D" w:rsidRPr="000338CE" w:rsidRDefault="00F77C8D" w:rsidP="00F77C8D">
      <w:pPr>
        <w:spacing w:after="0"/>
        <w:jc w:val="both"/>
        <w:rPr>
          <w:rFonts w:ascii="Times New Roman" w:hAnsi="Times New Roman" w:cs="Times New Roman"/>
          <w:sz w:val="20"/>
          <w:szCs w:val="20"/>
          <w:lang w:val="en-US"/>
        </w:rPr>
      </w:pPr>
    </w:p>
    <w:p w:rsidR="00F77C8D" w:rsidRPr="000338CE" w:rsidRDefault="00F77C8D" w:rsidP="00F77C8D">
      <w:pPr>
        <w:spacing w:after="0"/>
        <w:ind w:firstLine="708"/>
        <w:jc w:val="both"/>
        <w:rPr>
          <w:rFonts w:ascii="Times New Roman" w:hAnsi="Times New Roman" w:cs="Times New Roman"/>
          <w:sz w:val="24"/>
          <w:szCs w:val="24"/>
          <w:lang w:val="en-US"/>
        </w:rPr>
      </w:pPr>
      <w:r w:rsidRPr="000338CE">
        <w:rPr>
          <w:rFonts w:ascii="Times New Roman" w:hAnsi="Times New Roman" w:cs="Times New Roman"/>
          <w:noProof/>
          <w:color w:val="31849B"/>
          <w:sz w:val="20"/>
          <w:szCs w:val="20"/>
          <w:lang w:val="sk-SK" w:eastAsia="sk-SK"/>
        </w:rPr>
        <w:drawing>
          <wp:inline distT="0" distB="0" distL="0" distR="0" wp14:anchorId="06B97C66" wp14:editId="14E61AD1">
            <wp:extent cx="5168265" cy="3235960"/>
            <wp:effectExtent l="0" t="0" r="0" b="0"/>
            <wp:docPr id="3"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7C8D" w:rsidRPr="000338CE" w:rsidRDefault="00F77C8D" w:rsidP="00F77C8D">
      <w:pPr>
        <w:spacing w:after="0"/>
        <w:jc w:val="both"/>
        <w:rPr>
          <w:rFonts w:ascii="Times New Roman" w:hAnsi="Times New Roman" w:cs="Times New Roman"/>
          <w:sz w:val="24"/>
          <w:szCs w:val="24"/>
          <w:lang w:val="en-US"/>
        </w:rPr>
      </w:pPr>
    </w:p>
    <w:p w:rsidR="00F77C8D" w:rsidRDefault="00F77C8D" w:rsidP="00F77C8D">
      <w:pPr>
        <w:spacing w:after="0"/>
        <w:jc w:val="both"/>
        <w:rPr>
          <w:rFonts w:ascii="Times New Roman" w:hAnsi="Times New Roman" w:cs="Times New Roman"/>
          <w:sz w:val="20"/>
          <w:szCs w:val="20"/>
          <w:lang w:val="en-US"/>
        </w:rPr>
      </w:pPr>
      <w:r w:rsidRPr="000338CE">
        <w:rPr>
          <w:rFonts w:ascii="Times New Roman" w:hAnsi="Times New Roman" w:cs="Times New Roman"/>
          <w:sz w:val="20"/>
          <w:szCs w:val="20"/>
          <w:lang w:val="en-US"/>
        </w:rPr>
        <w:t xml:space="preserve">Graph No. 3: Graphic </w:t>
      </w:r>
      <w:r>
        <w:rPr>
          <w:rFonts w:ascii="Times New Roman" w:hAnsi="Times New Roman" w:cs="Times New Roman"/>
          <w:sz w:val="20"/>
          <w:szCs w:val="20"/>
          <w:lang w:val="en-US"/>
        </w:rPr>
        <w:t>re</w:t>
      </w:r>
      <w:r w:rsidRPr="000338CE">
        <w:rPr>
          <w:rFonts w:ascii="Times New Roman" w:hAnsi="Times New Roman" w:cs="Times New Roman"/>
          <w:sz w:val="20"/>
          <w:szCs w:val="20"/>
          <w:lang w:val="en-US"/>
        </w:rPr>
        <w:t xml:space="preserve">presentation of countries to which FSJ </w:t>
      </w:r>
      <w:r w:rsidR="0007463C">
        <w:rPr>
          <w:rFonts w:ascii="Times New Roman" w:hAnsi="Times New Roman" w:cs="Times New Roman"/>
          <w:sz w:val="20"/>
          <w:szCs w:val="20"/>
          <w:lang w:val="en-US"/>
        </w:rPr>
        <w:t>s</w:t>
      </w:r>
      <w:r w:rsidRPr="000338CE">
        <w:rPr>
          <w:rFonts w:ascii="Times New Roman" w:hAnsi="Times New Roman" w:cs="Times New Roman"/>
          <w:sz w:val="20"/>
          <w:szCs w:val="20"/>
          <w:lang w:val="en-US"/>
        </w:rPr>
        <w:t>ent requests for information in 2013</w:t>
      </w:r>
      <w:r>
        <w:rPr>
          <w:rFonts w:ascii="Times New Roman" w:hAnsi="Times New Roman" w:cs="Times New Roman"/>
          <w:sz w:val="20"/>
          <w:szCs w:val="20"/>
          <w:lang w:val="en-US"/>
        </w:rPr>
        <w:t xml:space="preserve"> most frequently</w:t>
      </w:r>
    </w:p>
    <w:p w:rsidR="00F77C8D" w:rsidRPr="000338CE" w:rsidRDefault="00F77C8D" w:rsidP="00F77C8D">
      <w:pPr>
        <w:spacing w:after="0"/>
        <w:ind w:firstLine="708"/>
        <w:jc w:val="both"/>
        <w:rPr>
          <w:rFonts w:ascii="Times New Roman" w:hAnsi="Times New Roman" w:cs="Times New Roman"/>
          <w:sz w:val="24"/>
          <w:szCs w:val="24"/>
          <w:lang w:val="en-US"/>
        </w:rPr>
      </w:pPr>
      <w:r w:rsidRPr="000338CE">
        <w:rPr>
          <w:rFonts w:ascii="Times New Roman" w:hAnsi="Times New Roman" w:cs="Times New Roman"/>
          <w:noProof/>
          <w:color w:val="31849B"/>
          <w:sz w:val="20"/>
          <w:szCs w:val="20"/>
          <w:lang w:val="sk-SK" w:eastAsia="sk-SK"/>
        </w:rPr>
        <w:drawing>
          <wp:inline distT="0" distB="0" distL="0" distR="0" wp14:anchorId="5A9F7B85" wp14:editId="335294FA">
            <wp:extent cx="5200015" cy="3029585"/>
            <wp:effectExtent l="0" t="0" r="0" b="0"/>
            <wp:docPr id="2"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7463C" w:rsidRDefault="0007463C" w:rsidP="00F77C8D">
      <w:pPr>
        <w:spacing w:after="120"/>
        <w:jc w:val="both"/>
        <w:rPr>
          <w:rFonts w:ascii="Times New Roman" w:hAnsi="Times New Roman" w:cs="Times New Roman"/>
          <w:sz w:val="20"/>
          <w:szCs w:val="20"/>
          <w:lang w:val="en-US"/>
        </w:rPr>
      </w:pPr>
    </w:p>
    <w:p w:rsidR="00F77C8D" w:rsidRPr="000338CE" w:rsidRDefault="00F77C8D" w:rsidP="00F77C8D">
      <w:pPr>
        <w:spacing w:after="120"/>
        <w:jc w:val="both"/>
        <w:rPr>
          <w:rFonts w:ascii="Times New Roman" w:hAnsi="Times New Roman" w:cs="Times New Roman"/>
          <w:sz w:val="20"/>
          <w:szCs w:val="20"/>
          <w:lang w:val="en-US"/>
        </w:rPr>
      </w:pPr>
      <w:r w:rsidRPr="000338CE">
        <w:rPr>
          <w:rFonts w:ascii="Times New Roman" w:hAnsi="Times New Roman" w:cs="Times New Roman"/>
          <w:sz w:val="20"/>
          <w:szCs w:val="20"/>
          <w:lang w:val="en-US"/>
        </w:rPr>
        <w:lastRenderedPageBreak/>
        <w:t xml:space="preserve">Graph No. 4: Graphic </w:t>
      </w:r>
      <w:r>
        <w:rPr>
          <w:rFonts w:ascii="Times New Roman" w:hAnsi="Times New Roman" w:cs="Times New Roman"/>
          <w:sz w:val="20"/>
          <w:szCs w:val="20"/>
          <w:lang w:val="en-US"/>
        </w:rPr>
        <w:t>re</w:t>
      </w:r>
      <w:r w:rsidRPr="000338CE">
        <w:rPr>
          <w:rFonts w:ascii="Times New Roman" w:hAnsi="Times New Roman" w:cs="Times New Roman"/>
          <w:sz w:val="20"/>
          <w:szCs w:val="20"/>
          <w:lang w:val="en-US"/>
        </w:rPr>
        <w:t>presentation of countries to which FSJ sent spontaneous information in 2013</w:t>
      </w:r>
      <w:r>
        <w:rPr>
          <w:rFonts w:ascii="Times New Roman" w:hAnsi="Times New Roman" w:cs="Times New Roman"/>
          <w:sz w:val="20"/>
          <w:szCs w:val="20"/>
          <w:lang w:val="en-US"/>
        </w:rPr>
        <w:t xml:space="preserve"> most often</w:t>
      </w:r>
    </w:p>
    <w:p w:rsidR="00F77C8D" w:rsidRPr="000338CE" w:rsidRDefault="00F77C8D" w:rsidP="00F77C8D">
      <w:pPr>
        <w:spacing w:after="0"/>
        <w:jc w:val="both"/>
        <w:rPr>
          <w:rFonts w:ascii="Times New Roman" w:hAnsi="Times New Roman" w:cs="Times New Roman"/>
          <w:sz w:val="24"/>
          <w:szCs w:val="24"/>
          <w:lang w:val="en-US"/>
        </w:rPr>
      </w:pPr>
    </w:p>
    <w:p w:rsidR="00F77C8D" w:rsidRPr="000338CE" w:rsidRDefault="00F77C8D" w:rsidP="00F77C8D">
      <w:pPr>
        <w:spacing w:after="0"/>
        <w:ind w:firstLine="708"/>
        <w:jc w:val="both"/>
        <w:rPr>
          <w:rFonts w:ascii="Times New Roman" w:hAnsi="Times New Roman" w:cs="Times New Roman"/>
          <w:sz w:val="24"/>
          <w:szCs w:val="24"/>
          <w:lang w:val="en-US"/>
        </w:rPr>
      </w:pPr>
      <w:r w:rsidRPr="000338CE">
        <w:rPr>
          <w:rFonts w:ascii="Times New Roman" w:hAnsi="Times New Roman" w:cs="Times New Roman"/>
          <w:noProof/>
          <w:color w:val="31849B"/>
          <w:sz w:val="20"/>
          <w:szCs w:val="20"/>
          <w:lang w:val="sk-SK" w:eastAsia="sk-SK"/>
        </w:rPr>
        <w:drawing>
          <wp:inline distT="0" distB="0" distL="0" distR="0" wp14:anchorId="022A17BC" wp14:editId="23DD43C4">
            <wp:extent cx="5335270" cy="3212465"/>
            <wp:effectExtent l="0" t="0" r="0" b="0"/>
            <wp:docPr id="4"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77C8D" w:rsidRDefault="00F77C8D" w:rsidP="00F77C8D">
      <w:pPr>
        <w:spacing w:before="100" w:beforeAutospacing="1" w:after="100" w:afterAutospacing="1" w:line="240" w:lineRule="auto"/>
        <w:ind w:firstLineChars="295" w:firstLine="708"/>
        <w:jc w:val="both"/>
        <w:rPr>
          <w:rFonts w:ascii="Times New Roman" w:hAnsi="Times New Roman" w:cs="Times New Roman"/>
          <w:sz w:val="24"/>
          <w:szCs w:val="24"/>
          <w:lang w:val="en-US"/>
        </w:rPr>
      </w:pPr>
      <w:r w:rsidRPr="000338CE">
        <w:rPr>
          <w:rFonts w:ascii="Times New Roman" w:hAnsi="Times New Roman" w:cs="Times New Roman"/>
          <w:sz w:val="24"/>
          <w:szCs w:val="24"/>
          <w:lang w:val="en-US"/>
        </w:rPr>
        <w:t>Cooperation with the Property Check-up Department in</w:t>
      </w:r>
      <w:r>
        <w:rPr>
          <w:rFonts w:ascii="Times New Roman" w:hAnsi="Times New Roman" w:cs="Times New Roman"/>
          <w:sz w:val="24"/>
          <w:szCs w:val="24"/>
          <w:lang w:val="en-US"/>
        </w:rPr>
        <w:t xml:space="preserve"> the</w:t>
      </w:r>
      <w:r w:rsidRPr="000338CE">
        <w:rPr>
          <w:rFonts w:ascii="Times New Roman" w:hAnsi="Times New Roman" w:cs="Times New Roman"/>
          <w:sz w:val="24"/>
          <w:szCs w:val="24"/>
          <w:lang w:val="en-US"/>
        </w:rPr>
        <w:t xml:space="preserve"> execution of tasks </w:t>
      </w:r>
      <w:r>
        <w:rPr>
          <w:rFonts w:ascii="Times New Roman" w:hAnsi="Times New Roman" w:cs="Times New Roman"/>
          <w:sz w:val="24"/>
          <w:szCs w:val="24"/>
          <w:lang w:val="en-US"/>
        </w:rPr>
        <w:t>of</w:t>
      </w:r>
      <w:r w:rsidRPr="000338CE">
        <w:rPr>
          <w:rFonts w:ascii="Times New Roman" w:hAnsi="Times New Roman" w:cs="Times New Roman"/>
          <w:sz w:val="24"/>
          <w:szCs w:val="24"/>
          <w:lang w:val="en-US"/>
        </w:rPr>
        <w:t xml:space="preserve"> the FSJ Slovakia resulting from the decision of the Council of the European Union No. 2007/845/JHA </w:t>
      </w:r>
      <w:r>
        <w:rPr>
          <w:rFonts w:ascii="Times New Roman" w:hAnsi="Times New Roman" w:cs="Times New Roman"/>
          <w:sz w:val="24"/>
          <w:szCs w:val="24"/>
          <w:lang w:val="en-US"/>
        </w:rPr>
        <w:t>from</w:t>
      </w:r>
      <w:r w:rsidRPr="000338CE">
        <w:rPr>
          <w:rFonts w:ascii="Times New Roman" w:hAnsi="Times New Roman" w:cs="Times New Roman"/>
          <w:sz w:val="24"/>
          <w:szCs w:val="24"/>
          <w:lang w:val="en-US"/>
        </w:rPr>
        <w:t xml:space="preserve"> 06.12.2007 on Cooperation between Asset Recovery Offices of the Member States in the field of searching and identification of proceeds of criminal activity or other property related to criminal activity</w:t>
      </w:r>
      <w:r>
        <w:rPr>
          <w:rFonts w:ascii="Times New Roman" w:hAnsi="Times New Roman" w:cs="Times New Roman"/>
          <w:sz w:val="24"/>
          <w:szCs w:val="24"/>
          <w:lang w:val="en-US"/>
        </w:rPr>
        <w:t xml:space="preserve"> is also significant when assessing the activities in 2013.</w:t>
      </w:r>
    </w:p>
    <w:p w:rsidR="00F77C8D" w:rsidRDefault="00F77C8D" w:rsidP="00F77C8D">
      <w:pPr>
        <w:spacing w:before="100" w:beforeAutospacing="1" w:after="100" w:afterAutospacing="1" w:line="240" w:lineRule="auto"/>
        <w:ind w:firstLineChars="295"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main activities of FSJ on an international level consisted of participating in activities of the working groups and committees of the European Union, Council etc., mainly:</w:t>
      </w:r>
    </w:p>
    <w:p w:rsidR="00F77C8D" w:rsidRDefault="00F77C8D" w:rsidP="00F77C8D">
      <w:pPr>
        <w:pStyle w:val="Odsekzoznamu"/>
        <w:numPr>
          <w:ilvl w:val="0"/>
          <w:numId w:val="8"/>
        </w:num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Committee for the Prevention of Money </w:t>
      </w:r>
      <w:r w:rsidRPr="00AE6FB3">
        <w:rPr>
          <w:rFonts w:ascii="Times New Roman" w:hAnsi="Times New Roman" w:cs="Times New Roman"/>
          <w:sz w:val="24"/>
          <w:szCs w:val="24"/>
          <w:lang w:val="en-US"/>
        </w:rPr>
        <w:t>Laundering and Terrorist Financing</w:t>
      </w:r>
      <w:r>
        <w:rPr>
          <w:rFonts w:ascii="Times New Roman" w:hAnsi="Times New Roman" w:cs="Times New Roman"/>
          <w:sz w:val="24"/>
          <w:szCs w:val="24"/>
          <w:lang w:val="en-US"/>
        </w:rPr>
        <w:t xml:space="preserve"> which is one of the subcommittees of the European Committee, </w:t>
      </w:r>
      <w:r w:rsidRPr="000338CE">
        <w:rPr>
          <w:rFonts w:ascii="Times New Roman" w:hAnsi="Times New Roman" w:cs="Times New Roman"/>
          <w:sz w:val="24"/>
          <w:szCs w:val="24"/>
          <w:lang w:val="en-US"/>
        </w:rPr>
        <w:t>DG Internal Market and Services</w:t>
      </w:r>
      <w:r>
        <w:rPr>
          <w:rFonts w:ascii="Times New Roman" w:hAnsi="Times New Roman" w:cs="Times New Roman"/>
          <w:sz w:val="24"/>
          <w:szCs w:val="24"/>
          <w:lang w:val="en-US"/>
        </w:rPr>
        <w:t>;</w:t>
      </w:r>
    </w:p>
    <w:p w:rsidR="00F77C8D" w:rsidRDefault="00F77C8D" w:rsidP="00F77C8D">
      <w:pPr>
        <w:pStyle w:val="Odsekzoznamu"/>
        <w:numPr>
          <w:ilvl w:val="0"/>
          <w:numId w:val="8"/>
        </w:num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FIU Platform </w:t>
      </w:r>
      <w:r w:rsidRPr="00AE6FB3">
        <w:rPr>
          <w:rFonts w:ascii="Times New Roman" w:hAnsi="Times New Roman" w:cs="Times New Roman"/>
          <w:sz w:val="24"/>
          <w:szCs w:val="24"/>
          <w:lang w:val="en-US"/>
        </w:rPr>
        <w:t>which</w:t>
      </w:r>
      <w:r>
        <w:rPr>
          <w:rFonts w:ascii="Times New Roman" w:hAnsi="Times New Roman" w:cs="Times New Roman"/>
          <w:sz w:val="24"/>
          <w:szCs w:val="24"/>
          <w:lang w:val="en-US"/>
        </w:rPr>
        <w:t xml:space="preserve"> brings</w:t>
      </w:r>
      <w:r w:rsidRPr="00AE6FB3">
        <w:rPr>
          <w:rFonts w:ascii="Times New Roman" w:hAnsi="Times New Roman" w:cs="Times New Roman"/>
          <w:sz w:val="24"/>
          <w:szCs w:val="24"/>
          <w:lang w:val="en-US"/>
        </w:rPr>
        <w:t xml:space="preserve"> together FIUs of the Member States</w:t>
      </w:r>
      <w:r>
        <w:rPr>
          <w:rFonts w:ascii="Times New Roman" w:hAnsi="Times New Roman" w:cs="Times New Roman"/>
          <w:sz w:val="24"/>
          <w:szCs w:val="24"/>
          <w:lang w:val="en-US"/>
        </w:rPr>
        <w:t xml:space="preserve"> and</w:t>
      </w:r>
      <w:r w:rsidRPr="00AE6FB3">
        <w:rPr>
          <w:rFonts w:ascii="Times New Roman" w:hAnsi="Times New Roman" w:cs="Times New Roman"/>
          <w:sz w:val="24"/>
          <w:szCs w:val="24"/>
          <w:lang w:val="en-US"/>
        </w:rPr>
        <w:t xml:space="preserve"> </w:t>
      </w:r>
      <w:r>
        <w:rPr>
          <w:rFonts w:ascii="Times New Roman" w:hAnsi="Times New Roman" w:cs="Times New Roman"/>
          <w:sz w:val="24"/>
          <w:szCs w:val="24"/>
          <w:lang w:val="en-US"/>
        </w:rPr>
        <w:t>is one of the subcommittees of the European Committee,</w:t>
      </w:r>
      <w:r w:rsidRPr="00AE6FB3">
        <w:rPr>
          <w:rFonts w:ascii="Times New Roman" w:hAnsi="Times New Roman" w:cs="Times New Roman"/>
          <w:sz w:val="24"/>
          <w:szCs w:val="24"/>
          <w:lang w:val="en-US"/>
        </w:rPr>
        <w:t xml:space="preserve"> </w:t>
      </w:r>
      <w:r w:rsidRPr="000338CE">
        <w:rPr>
          <w:rFonts w:ascii="Times New Roman" w:hAnsi="Times New Roman" w:cs="Times New Roman"/>
          <w:sz w:val="24"/>
          <w:szCs w:val="24"/>
          <w:lang w:val="en-US"/>
        </w:rPr>
        <w:t>DG Justice, Freedom and Security</w:t>
      </w:r>
      <w:r>
        <w:rPr>
          <w:rFonts w:ascii="Times New Roman" w:hAnsi="Times New Roman" w:cs="Times New Roman"/>
          <w:sz w:val="24"/>
          <w:szCs w:val="24"/>
          <w:lang w:val="en-US"/>
        </w:rPr>
        <w:t>;</w:t>
      </w:r>
    </w:p>
    <w:p w:rsidR="00F77C8D" w:rsidRDefault="00F77C8D" w:rsidP="00F77C8D">
      <w:pPr>
        <w:pStyle w:val="Odsekzoznamu"/>
        <w:numPr>
          <w:ilvl w:val="0"/>
          <w:numId w:val="8"/>
        </w:num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Meeting of the parties of Council of Europe Convention No198/2005 on Laundering, Search, Seizure and Confiscation of the Proceeds from Crime and on the Financing of Terrorism;</w:t>
      </w:r>
    </w:p>
    <w:p w:rsidR="00F77C8D" w:rsidRPr="00AE6FB3" w:rsidRDefault="00F77C8D" w:rsidP="00F77C8D">
      <w:pPr>
        <w:pStyle w:val="Odsekzoznamu"/>
        <w:numPr>
          <w:ilvl w:val="0"/>
          <w:numId w:val="8"/>
        </w:numPr>
        <w:spacing w:before="100" w:beforeAutospacing="1" w:after="100" w:afterAutospacing="1" w:line="240" w:lineRule="auto"/>
        <w:jc w:val="both"/>
        <w:rPr>
          <w:rFonts w:ascii="Times New Roman" w:hAnsi="Times New Roman" w:cs="Times New Roman"/>
          <w:sz w:val="24"/>
          <w:szCs w:val="24"/>
          <w:lang w:val="en-US"/>
        </w:rPr>
      </w:pPr>
      <w:r w:rsidRPr="002F51F1">
        <w:rPr>
          <w:rFonts w:ascii="Times New Roman" w:hAnsi="Times New Roman" w:cs="Times New Roman"/>
          <w:sz w:val="24"/>
          <w:szCs w:val="24"/>
          <w:lang w:val="en-US"/>
        </w:rPr>
        <w:t>Committee of Experts of the Council of Europe</w:t>
      </w:r>
      <w:r>
        <w:rPr>
          <w:rFonts w:ascii="Times New Roman" w:hAnsi="Times New Roman" w:cs="Times New Roman"/>
          <w:sz w:val="24"/>
          <w:szCs w:val="24"/>
          <w:lang w:val="en-US"/>
        </w:rPr>
        <w:t xml:space="preserve"> on the Evaluation of Anti-Money Laundering Measures and Financing of Terrorism –</w:t>
      </w:r>
      <w:r w:rsidRPr="002F51F1">
        <w:rPr>
          <w:rFonts w:ascii="Times New Roman" w:hAnsi="Times New Roman" w:cs="Times New Roman"/>
          <w:sz w:val="24"/>
          <w:szCs w:val="24"/>
          <w:lang w:val="en-US"/>
        </w:rPr>
        <w:t xml:space="preserve"> MONEYVAL</w:t>
      </w:r>
      <w:r>
        <w:rPr>
          <w:rFonts w:ascii="Times New Roman" w:hAnsi="Times New Roman" w:cs="Times New Roman"/>
          <w:sz w:val="24"/>
          <w:szCs w:val="24"/>
          <w:lang w:val="en-US"/>
        </w:rPr>
        <w:t>.</w:t>
      </w:r>
    </w:p>
    <w:p w:rsidR="00F77C8D" w:rsidRDefault="00F77C8D" w:rsidP="00F77C8D">
      <w:pPr>
        <w:spacing w:before="100" w:beforeAutospacing="1" w:after="100" w:afterAutospacing="1" w:line="240" w:lineRule="auto"/>
        <w:ind w:firstLineChars="295"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most important event was the 42</w:t>
      </w:r>
      <w:r>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plenary meeting of </w:t>
      </w:r>
      <w:r w:rsidRPr="002F51F1">
        <w:rPr>
          <w:rFonts w:ascii="Times New Roman" w:hAnsi="Times New Roman" w:cs="Times New Roman"/>
          <w:sz w:val="24"/>
          <w:szCs w:val="24"/>
          <w:lang w:val="en-US"/>
        </w:rPr>
        <w:t>Committee of Experts of the Council of Europe</w:t>
      </w:r>
      <w:r>
        <w:rPr>
          <w:rFonts w:ascii="Times New Roman" w:hAnsi="Times New Roman" w:cs="Times New Roman"/>
          <w:sz w:val="24"/>
          <w:szCs w:val="24"/>
          <w:lang w:val="en-US"/>
        </w:rPr>
        <w:t xml:space="preserve"> MONEYVAL at which the temporary consecutive evaluation report on the progress achieved by Slovak Republic since the evaluation visit of foreign experts in 2010 was discussed. The report reflected the accordance of AML/CFT measures with the 40</w:t>
      </w:r>
      <w:r w:rsidR="002416AB">
        <w:rPr>
          <w:rFonts w:ascii="Times New Roman" w:hAnsi="Times New Roman" w:cs="Times New Roman"/>
          <w:sz w:val="24"/>
          <w:szCs w:val="24"/>
          <w:lang w:val="en-US"/>
        </w:rPr>
        <w:t xml:space="preserve"> Recommendations and</w:t>
      </w:r>
      <w:r>
        <w:rPr>
          <w:rFonts w:ascii="Times New Roman" w:hAnsi="Times New Roman" w:cs="Times New Roman"/>
          <w:sz w:val="24"/>
          <w:szCs w:val="24"/>
          <w:lang w:val="en-US"/>
        </w:rPr>
        <w:t xml:space="preserve"> 9 Special Recommendations of the </w:t>
      </w:r>
      <w:r w:rsidRPr="004A6AF7">
        <w:rPr>
          <w:rFonts w:ascii="Times New Roman" w:hAnsi="Times New Roman" w:cs="Times New Roman"/>
          <w:sz w:val="24"/>
          <w:szCs w:val="24"/>
          <w:lang w:val="en-US"/>
        </w:rPr>
        <w:t>Financial Action Task Force</w:t>
      </w:r>
      <w:r>
        <w:rPr>
          <w:rFonts w:ascii="Times New Roman" w:hAnsi="Times New Roman" w:cs="Times New Roman"/>
          <w:sz w:val="24"/>
          <w:szCs w:val="24"/>
          <w:lang w:val="en-US"/>
        </w:rPr>
        <w:t xml:space="preserve"> (</w:t>
      </w:r>
      <w:r w:rsidR="002416AB" w:rsidRPr="00943284">
        <w:rPr>
          <w:rFonts w:ascii="Times New Roman" w:hAnsi="Times New Roman" w:cs="Times New Roman"/>
          <w:sz w:val="24"/>
          <w:szCs w:val="24"/>
        </w:rPr>
        <w:t xml:space="preserve">hereinafter referred to as </w:t>
      </w:r>
      <w:r w:rsidR="002416AB">
        <w:rPr>
          <w:rFonts w:ascii="Times New Roman" w:hAnsi="Times New Roman" w:cs="Times New Roman"/>
          <w:sz w:val="24"/>
          <w:szCs w:val="24"/>
        </w:rPr>
        <w:t>“</w:t>
      </w:r>
      <w:r>
        <w:rPr>
          <w:rFonts w:ascii="Times New Roman" w:hAnsi="Times New Roman" w:cs="Times New Roman"/>
          <w:sz w:val="24"/>
          <w:szCs w:val="24"/>
          <w:lang w:val="en-US"/>
        </w:rPr>
        <w:t>FATF</w:t>
      </w:r>
      <w:r w:rsidR="002416AB">
        <w:rPr>
          <w:rFonts w:ascii="Times New Roman" w:hAnsi="Times New Roman" w:cs="Times New Roman"/>
          <w:sz w:val="24"/>
          <w:szCs w:val="24"/>
          <w:lang w:val="en-US"/>
        </w:rPr>
        <w:t>”</w:t>
      </w:r>
      <w:r>
        <w:rPr>
          <w:rFonts w:ascii="Times New Roman" w:hAnsi="Times New Roman" w:cs="Times New Roman"/>
          <w:sz w:val="24"/>
          <w:szCs w:val="24"/>
          <w:lang w:val="en-US"/>
        </w:rPr>
        <w:t>). With the report, in the section of scope of the FSJ and the law enforcement authorities the MONEYVAL Secretariat observed a significant progress.</w:t>
      </w:r>
    </w:p>
    <w:p w:rsidR="00F77C8D" w:rsidRPr="007053AA" w:rsidRDefault="00F77C8D" w:rsidP="00F77C8D">
      <w:pPr>
        <w:spacing w:before="100" w:beforeAutospacing="1" w:after="100" w:afterAutospacing="1" w:line="240" w:lineRule="auto"/>
        <w:ind w:firstLineChars="295"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Participating in the 21</w:t>
      </w:r>
      <w:r>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plenary meeting of the international group Egmont Group in the Republic of South Africa in June 2013 was also a very important event for FSJ Slovakia. The meeting was attended by representatives of FIUs from around the world and also of other international organizations – Council of Europe, UN, Interpol, Europol, FATF, IMF, World Bank and others. Such an activity represents the only opportunity where representatives of FIUs from the entire world can meet and discuss common issues. During the plenary meeting, agreement between Slovak Republic and Russian Federation on Cooperation in the Field of Fight against Legalization (Laundering) of Proceeds from Crime and Financing of Terrorism was signed</w:t>
      </w:r>
      <w:r w:rsidRPr="003061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was preceded by difficult bilateral process. The agreement is focused mainly on the area of exchange of information in order to </w:t>
      </w:r>
      <w:r w:rsidR="002416AB">
        <w:rPr>
          <w:rFonts w:ascii="Times New Roman" w:hAnsi="Times New Roman" w:cs="Times New Roman"/>
          <w:sz w:val="24"/>
          <w:szCs w:val="24"/>
          <w:lang w:val="en-US"/>
        </w:rPr>
        <w:t>collect,</w:t>
      </w:r>
      <w:r>
        <w:rPr>
          <w:rFonts w:ascii="Times New Roman" w:hAnsi="Times New Roman" w:cs="Times New Roman"/>
          <w:sz w:val="24"/>
          <w:szCs w:val="24"/>
          <w:lang w:val="en-US"/>
        </w:rPr>
        <w:t xml:space="preserve"> process and analyze information related to money transactions and other assets where a suspicion of legalization of proceeds from crime, financing of terrorism and related predicate offences exists.</w:t>
      </w:r>
    </w:p>
    <w:p w:rsidR="00F77C8D" w:rsidRPr="00CC08BE" w:rsidRDefault="00F77C8D" w:rsidP="00F77C8D">
      <w:pPr>
        <w:spacing w:before="100" w:beforeAutospacing="1" w:after="100" w:afterAutospacing="1" w:line="240" w:lineRule="auto"/>
        <w:ind w:firstLineChars="295" w:firstLine="708"/>
        <w:jc w:val="both"/>
        <w:rPr>
          <w:rFonts w:ascii="Times New Roman" w:hAnsi="Times New Roman" w:cs="Times New Roman"/>
          <w:sz w:val="24"/>
          <w:szCs w:val="24"/>
          <w:lang w:val="en-US"/>
        </w:rPr>
      </w:pPr>
      <w:r>
        <w:rPr>
          <w:rFonts w:ascii="Times New Roman" w:hAnsi="Times New Roman" w:cs="Times New Roman"/>
          <w:sz w:val="24"/>
          <w:szCs w:val="24"/>
          <w:lang w:val="en-US"/>
        </w:rPr>
        <w:t>Within the framework of creating high-quality cooperation with neighboring countries it is important to stress the 4</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regional working meeting of neighboring Central European countries (Czech Republic, Hungary, Poland, and Austria) was</w:t>
      </w:r>
      <w:r w:rsidRPr="00CC08BE">
        <w:rPr>
          <w:rFonts w:ascii="Times New Roman" w:hAnsi="Times New Roman" w:cs="Times New Roman"/>
          <w:sz w:val="24"/>
          <w:szCs w:val="24"/>
          <w:lang w:val="en-US"/>
        </w:rPr>
        <w:t xml:space="preserve"> </w:t>
      </w:r>
      <w:r>
        <w:rPr>
          <w:rFonts w:ascii="Times New Roman" w:hAnsi="Times New Roman" w:cs="Times New Roman"/>
          <w:sz w:val="24"/>
          <w:szCs w:val="24"/>
          <w:lang w:val="en-US"/>
        </w:rPr>
        <w:t>successfully organized by FSJ Slovakia. The core topic of the meeting was “Committing of criminal offences of legalization of proceeds from crime by organized groups”.</w:t>
      </w:r>
    </w:p>
    <w:p w:rsidR="00F77C8D" w:rsidRPr="000338CE" w:rsidRDefault="00F77C8D" w:rsidP="00F77C8D">
      <w:pPr>
        <w:spacing w:after="0"/>
        <w:jc w:val="both"/>
        <w:rPr>
          <w:rFonts w:ascii="Times New Roman" w:hAnsi="Times New Roman" w:cs="Times New Roman"/>
          <w:sz w:val="24"/>
          <w:szCs w:val="24"/>
          <w:lang w:val="en-US"/>
        </w:rPr>
      </w:pPr>
    </w:p>
    <w:p w:rsidR="00F77C8D" w:rsidRPr="00D92E78" w:rsidRDefault="00F77C8D" w:rsidP="00F77C8D">
      <w:pPr>
        <w:ind w:firstLine="708"/>
        <w:rPr>
          <w:rFonts w:ascii="Times New Roman" w:hAnsi="Times New Roman" w:cs="Times New Roman"/>
          <w:b/>
          <w:bCs/>
          <w:kern w:val="32"/>
          <w:sz w:val="28"/>
          <w:szCs w:val="28"/>
          <w:lang w:val="en-US"/>
        </w:rPr>
      </w:pPr>
      <w:bookmarkStart w:id="36" w:name="_Toc382129838"/>
      <w:bookmarkStart w:id="37" w:name="_Toc382130000"/>
      <w:bookmarkStart w:id="38" w:name="_Toc382130531"/>
      <w:bookmarkStart w:id="39" w:name="_Toc382141490"/>
      <w:bookmarkStart w:id="40" w:name="_Toc382141687"/>
      <w:r w:rsidRPr="00D92E78">
        <w:rPr>
          <w:rFonts w:ascii="Times New Roman" w:hAnsi="Times New Roman" w:cs="Times New Roman"/>
          <w:b/>
          <w:bCs/>
          <w:kern w:val="32"/>
          <w:sz w:val="28"/>
          <w:szCs w:val="28"/>
          <w:lang w:val="en-US"/>
        </w:rPr>
        <w:t>5. Financial and property verification</w:t>
      </w:r>
    </w:p>
    <w:bookmarkEnd w:id="36"/>
    <w:bookmarkEnd w:id="37"/>
    <w:bookmarkEnd w:id="38"/>
    <w:bookmarkEnd w:id="39"/>
    <w:bookmarkEnd w:id="40"/>
    <w:p w:rsidR="00F77C8D" w:rsidRPr="000338CE" w:rsidRDefault="00F77C8D" w:rsidP="00F77C8D">
      <w:pPr>
        <w:spacing w:after="0"/>
        <w:jc w:val="both"/>
        <w:rPr>
          <w:rFonts w:ascii="Times New Roman" w:hAnsi="Times New Roman" w:cs="Times New Roman"/>
          <w:sz w:val="24"/>
          <w:szCs w:val="24"/>
          <w:lang w:val="en-US"/>
        </w:rPr>
      </w:pPr>
    </w:p>
    <w:p w:rsidR="00F77C8D" w:rsidRDefault="00F77C8D" w:rsidP="00F77C8D">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execution of tasks in the area of </w:t>
      </w:r>
      <w:r w:rsidRPr="003061BE">
        <w:rPr>
          <w:rFonts w:ascii="Times New Roman" w:hAnsi="Times New Roman" w:cs="Times New Roman"/>
          <w:sz w:val="24"/>
          <w:szCs w:val="24"/>
          <w:lang w:val="en-US"/>
        </w:rPr>
        <w:t>financial and property verification</w:t>
      </w:r>
      <w:r>
        <w:rPr>
          <w:rFonts w:ascii="Times New Roman" w:hAnsi="Times New Roman" w:cs="Times New Roman"/>
          <w:sz w:val="24"/>
          <w:szCs w:val="24"/>
          <w:lang w:val="en-US"/>
        </w:rPr>
        <w:t xml:space="preserve"> is entrusted to the Property Check-up Department.</w:t>
      </w:r>
    </w:p>
    <w:p w:rsidR="00F77C8D" w:rsidRDefault="00F77C8D" w:rsidP="00F77C8D">
      <w:pPr>
        <w:spacing w:after="120"/>
        <w:jc w:val="both"/>
        <w:rPr>
          <w:b/>
        </w:rPr>
      </w:pPr>
    </w:p>
    <w:p w:rsidR="00F77C8D" w:rsidRDefault="00F77C8D" w:rsidP="00F77C8D">
      <w:pPr>
        <w:spacing w:after="0"/>
        <w:jc w:val="both"/>
        <w:rPr>
          <w:rFonts w:ascii="Times New Roman" w:hAnsi="Times New Roman" w:cs="Times New Roman"/>
          <w:b/>
          <w:bCs/>
          <w:sz w:val="24"/>
          <w:szCs w:val="24"/>
          <w:lang w:val="en-US"/>
        </w:rPr>
      </w:pPr>
      <w:r w:rsidRPr="0000672E">
        <w:rPr>
          <w:rFonts w:ascii="Times New Roman" w:hAnsi="Times New Roman" w:cs="Times New Roman"/>
          <w:b/>
          <w:bCs/>
          <w:sz w:val="24"/>
          <w:szCs w:val="24"/>
          <w:lang w:val="en-US"/>
        </w:rPr>
        <w:t>5.1. Identification of incomes and property derived from criminal activity</w:t>
      </w:r>
    </w:p>
    <w:p w:rsidR="00F77C8D" w:rsidRPr="0000672E" w:rsidRDefault="00F77C8D" w:rsidP="00F77C8D">
      <w:pPr>
        <w:spacing w:after="0"/>
        <w:ind w:firstLine="53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(financial verification)</w:t>
      </w:r>
    </w:p>
    <w:p w:rsidR="00F77C8D" w:rsidRPr="000338CE" w:rsidRDefault="00F77C8D" w:rsidP="00F77C8D">
      <w:pPr>
        <w:spacing w:after="0"/>
        <w:rPr>
          <w:rFonts w:ascii="Times New Roman" w:hAnsi="Times New Roman" w:cs="Times New Roman"/>
          <w:sz w:val="24"/>
          <w:szCs w:val="24"/>
          <w:lang w:val="en-US"/>
        </w:rPr>
      </w:pPr>
    </w:p>
    <w:p w:rsidR="00F77C8D" w:rsidRDefault="00F77C8D" w:rsidP="00867021">
      <w:pPr>
        <w:spacing w:after="100" w:afterAutospacing="1" w:line="240" w:lineRule="auto"/>
        <w:ind w:firstLineChars="295" w:firstLine="708"/>
        <w:jc w:val="both"/>
        <w:rPr>
          <w:rFonts w:ascii="Times New Roman" w:hAnsi="Times New Roman" w:cs="Times New Roman"/>
          <w:sz w:val="24"/>
          <w:szCs w:val="24"/>
          <w:lang w:val="en-US"/>
        </w:rPr>
      </w:pPr>
      <w:r w:rsidRPr="0000672E">
        <w:rPr>
          <w:rFonts w:ascii="Times New Roman" w:hAnsi="Times New Roman" w:cs="Times New Roman"/>
          <w:sz w:val="24"/>
          <w:szCs w:val="24"/>
          <w:lang w:val="en-US"/>
        </w:rPr>
        <w:t>Following the decision of the Council of the European Union No. 2007/845/JHA,</w:t>
      </w:r>
      <w:r>
        <w:rPr>
          <w:rFonts w:ascii="Times New Roman" w:hAnsi="Times New Roman" w:cs="Times New Roman"/>
          <w:sz w:val="24"/>
          <w:szCs w:val="24"/>
          <w:lang w:val="en-US"/>
        </w:rPr>
        <w:t xml:space="preserve"> the</w:t>
      </w:r>
      <w:r w:rsidRPr="0000672E">
        <w:rPr>
          <w:rFonts w:ascii="Times New Roman" w:hAnsi="Times New Roman" w:cs="Times New Roman"/>
          <w:sz w:val="24"/>
          <w:szCs w:val="24"/>
          <w:lang w:val="en-US"/>
        </w:rPr>
        <w:t xml:space="preserve"> FSJ Slovakia fulfills the role of the national Asset Recovery Office (</w:t>
      </w:r>
      <w:r w:rsidR="00867021" w:rsidRPr="00943284">
        <w:rPr>
          <w:rFonts w:ascii="Times New Roman" w:hAnsi="Times New Roman" w:cs="Times New Roman"/>
          <w:sz w:val="24"/>
          <w:szCs w:val="24"/>
        </w:rPr>
        <w:t xml:space="preserve">hereinafter referred to as </w:t>
      </w:r>
      <w:r w:rsidR="00867021">
        <w:rPr>
          <w:rFonts w:ascii="Times New Roman" w:hAnsi="Times New Roman" w:cs="Times New Roman"/>
          <w:sz w:val="24"/>
          <w:szCs w:val="24"/>
        </w:rPr>
        <w:t>“</w:t>
      </w:r>
      <w:r w:rsidRPr="0000672E">
        <w:rPr>
          <w:rFonts w:ascii="Times New Roman" w:hAnsi="Times New Roman" w:cs="Times New Roman"/>
          <w:sz w:val="24"/>
          <w:szCs w:val="24"/>
          <w:lang w:val="en-US"/>
        </w:rPr>
        <w:t>ARO</w:t>
      </w:r>
      <w:r w:rsidR="00867021">
        <w:rPr>
          <w:rFonts w:ascii="Times New Roman" w:hAnsi="Times New Roman" w:cs="Times New Roman"/>
          <w:sz w:val="24"/>
          <w:szCs w:val="24"/>
          <w:lang w:val="en-US"/>
        </w:rPr>
        <w:t>”</w:t>
      </w:r>
      <w:r w:rsidRPr="0000672E">
        <w:rPr>
          <w:rFonts w:ascii="Times New Roman" w:hAnsi="Times New Roman" w:cs="Times New Roman"/>
          <w:sz w:val="24"/>
          <w:szCs w:val="24"/>
          <w:lang w:val="en-US"/>
        </w:rPr>
        <w:t>) since</w:t>
      </w:r>
      <w:r>
        <w:rPr>
          <w:rFonts w:ascii="Times New Roman" w:hAnsi="Times New Roman" w:cs="Times New Roman"/>
          <w:sz w:val="24"/>
          <w:szCs w:val="24"/>
          <w:lang w:val="en-US"/>
        </w:rPr>
        <w:t xml:space="preserve"> October</w:t>
      </w:r>
      <w:r w:rsidRPr="0000672E">
        <w:rPr>
          <w:rFonts w:ascii="Times New Roman" w:hAnsi="Times New Roman" w:cs="Times New Roman"/>
          <w:sz w:val="24"/>
          <w:szCs w:val="24"/>
          <w:lang w:val="en-US"/>
        </w:rPr>
        <w:t> 2008.</w:t>
      </w:r>
      <w:r>
        <w:rPr>
          <w:rFonts w:ascii="Times New Roman" w:hAnsi="Times New Roman" w:cs="Times New Roman"/>
          <w:sz w:val="24"/>
          <w:szCs w:val="24"/>
          <w:lang w:val="en-US"/>
        </w:rPr>
        <w:t xml:space="preserve"> </w:t>
      </w:r>
      <w:r w:rsidRPr="001D6754">
        <w:rPr>
          <w:rFonts w:ascii="Times New Roman" w:hAnsi="Times New Roman" w:cs="Times New Roman"/>
          <w:sz w:val="24"/>
          <w:szCs w:val="24"/>
          <w:lang w:val="en-US"/>
        </w:rPr>
        <w:t xml:space="preserve">The </w:t>
      </w:r>
      <w:r>
        <w:rPr>
          <w:rFonts w:ascii="Times New Roman" w:hAnsi="Times New Roman" w:cs="Times New Roman"/>
          <w:sz w:val="24"/>
          <w:szCs w:val="24"/>
          <w:lang w:val="en-US"/>
        </w:rPr>
        <w:t>task</w:t>
      </w:r>
      <w:r w:rsidRPr="001D6754">
        <w:rPr>
          <w:rFonts w:ascii="Times New Roman" w:hAnsi="Times New Roman" w:cs="Times New Roman"/>
          <w:sz w:val="24"/>
          <w:szCs w:val="24"/>
          <w:lang w:val="en-US"/>
        </w:rPr>
        <w:t xml:space="preserve"> of national AROs is </w:t>
      </w:r>
      <w:r>
        <w:rPr>
          <w:rFonts w:ascii="Times New Roman" w:hAnsi="Times New Roman" w:cs="Times New Roman"/>
          <w:sz w:val="24"/>
          <w:szCs w:val="24"/>
          <w:lang w:val="en-US"/>
        </w:rPr>
        <w:t>the</w:t>
      </w:r>
      <w:r w:rsidRPr="001D6754">
        <w:rPr>
          <w:rFonts w:ascii="Times New Roman" w:hAnsi="Times New Roman" w:cs="Times New Roman"/>
          <w:sz w:val="24"/>
          <w:szCs w:val="24"/>
          <w:lang w:val="en-US"/>
        </w:rPr>
        <w:t xml:space="preserve"> </w:t>
      </w:r>
      <w:r>
        <w:rPr>
          <w:rFonts w:ascii="Times New Roman" w:hAnsi="Times New Roman" w:cs="Times New Roman"/>
          <w:sz w:val="24"/>
          <w:szCs w:val="24"/>
          <w:lang w:val="en-US"/>
        </w:rPr>
        <w:t>detection</w:t>
      </w:r>
      <w:r w:rsidRPr="001D6754">
        <w:rPr>
          <w:rFonts w:ascii="Times New Roman" w:hAnsi="Times New Roman" w:cs="Times New Roman"/>
          <w:sz w:val="24"/>
          <w:szCs w:val="24"/>
          <w:lang w:val="en-US"/>
        </w:rPr>
        <w:t xml:space="preserve"> and identification of proceeds </w:t>
      </w:r>
      <w:r>
        <w:rPr>
          <w:rFonts w:ascii="Times New Roman" w:hAnsi="Times New Roman" w:cs="Times New Roman"/>
          <w:sz w:val="24"/>
          <w:szCs w:val="24"/>
          <w:lang w:val="en-US"/>
        </w:rPr>
        <w:t>from crime</w:t>
      </w:r>
      <w:r w:rsidRPr="001D6754">
        <w:rPr>
          <w:rFonts w:ascii="Times New Roman" w:hAnsi="Times New Roman" w:cs="Times New Roman"/>
          <w:sz w:val="24"/>
          <w:szCs w:val="24"/>
          <w:lang w:val="en-US"/>
        </w:rPr>
        <w:t xml:space="preserve"> and other property related to crime which may be in</w:t>
      </w:r>
      <w:r>
        <w:rPr>
          <w:rFonts w:ascii="Times New Roman" w:hAnsi="Times New Roman" w:cs="Times New Roman"/>
          <w:sz w:val="24"/>
          <w:szCs w:val="24"/>
          <w:lang w:val="en-US"/>
        </w:rPr>
        <w:t xml:space="preserve"> the course of</w:t>
      </w:r>
      <w:r w:rsidRPr="001D6754">
        <w:rPr>
          <w:rFonts w:ascii="Times New Roman" w:hAnsi="Times New Roman" w:cs="Times New Roman"/>
          <w:sz w:val="24"/>
          <w:szCs w:val="24"/>
          <w:lang w:val="en-US"/>
        </w:rPr>
        <w:t xml:space="preserve"> criminal proceedings frozen, seized or confiscated by order of the competent judicial authority.</w:t>
      </w:r>
    </w:p>
    <w:p w:rsidR="00F77C8D" w:rsidRDefault="00F77C8D" w:rsidP="00867021">
      <w:pPr>
        <w:spacing w:after="100" w:afterAutospacing="1" w:line="240" w:lineRule="auto"/>
        <w:ind w:firstLine="709"/>
        <w:jc w:val="both"/>
        <w:rPr>
          <w:rFonts w:ascii="Times New Roman" w:hAnsi="Times New Roman" w:cs="Times New Roman"/>
          <w:sz w:val="24"/>
          <w:szCs w:val="24"/>
          <w:lang w:val="en-US"/>
        </w:rPr>
      </w:pPr>
      <w:r w:rsidRPr="001629A4">
        <w:rPr>
          <w:rFonts w:ascii="Times New Roman" w:hAnsi="Times New Roman" w:cs="Times New Roman"/>
          <w:sz w:val="24"/>
          <w:szCs w:val="24"/>
          <w:lang w:val="en-US"/>
        </w:rPr>
        <w:t xml:space="preserve">Cooperation and exchange of information between national AROs is </w:t>
      </w:r>
      <w:r>
        <w:rPr>
          <w:rFonts w:ascii="Times New Roman" w:hAnsi="Times New Roman" w:cs="Times New Roman"/>
          <w:sz w:val="24"/>
          <w:szCs w:val="24"/>
          <w:lang w:val="en-US"/>
        </w:rPr>
        <w:t>effected</w:t>
      </w:r>
      <w:r w:rsidRPr="001629A4">
        <w:rPr>
          <w:rFonts w:ascii="Times New Roman" w:hAnsi="Times New Roman" w:cs="Times New Roman"/>
          <w:sz w:val="24"/>
          <w:szCs w:val="24"/>
          <w:lang w:val="en-US"/>
        </w:rPr>
        <w:t xml:space="preserve"> on the basis of the procedures and deadlines set out in the Framework Decision of the Council of the European Union No. 2006/960/JHA </w:t>
      </w:r>
      <w:r>
        <w:rPr>
          <w:rFonts w:ascii="Times New Roman" w:hAnsi="Times New Roman" w:cs="Times New Roman"/>
          <w:sz w:val="24"/>
          <w:szCs w:val="24"/>
          <w:lang w:val="en-US"/>
        </w:rPr>
        <w:t xml:space="preserve">using secured electronic networks and channel highly protected from information leak – SIENA, possibly through email communication through the address </w:t>
      </w:r>
      <w:hyperlink r:id="rId16" w:history="1">
        <w:r w:rsidRPr="000338CE">
          <w:rPr>
            <w:rStyle w:val="Hypertextovprepojenie"/>
            <w:rFonts w:ascii="Times New Roman" w:hAnsi="Times New Roman" w:cs="Times New Roman"/>
            <w:sz w:val="24"/>
            <w:szCs w:val="24"/>
            <w:lang w:val="en-US"/>
          </w:rPr>
          <w:t>sjfpopm@minv.sk</w:t>
        </w:r>
      </w:hyperlink>
      <w:r w:rsidRPr="001629A4">
        <w:rPr>
          <w:rFonts w:ascii="Times New Roman" w:hAnsi="Times New Roman" w:cs="Times New Roman"/>
          <w:sz w:val="24"/>
          <w:szCs w:val="24"/>
          <w:lang w:val="en-US"/>
        </w:rPr>
        <w:t>. The mutual cooperation with third countries</w:t>
      </w:r>
      <w:r>
        <w:rPr>
          <w:rFonts w:ascii="Times New Roman" w:hAnsi="Times New Roman" w:cs="Times New Roman"/>
          <w:sz w:val="24"/>
          <w:szCs w:val="24"/>
          <w:lang w:val="en-US"/>
        </w:rPr>
        <w:t xml:space="preserve"> is carried out</w:t>
      </w:r>
      <w:r w:rsidRPr="001629A4">
        <w:rPr>
          <w:rFonts w:ascii="Times New Roman" w:hAnsi="Times New Roman" w:cs="Times New Roman"/>
          <w:sz w:val="24"/>
          <w:szCs w:val="24"/>
          <w:lang w:val="en-US"/>
        </w:rPr>
        <w:t xml:space="preserve"> through an informal global network of professionals and experts in the field of cross-border identification, freezing, seizure and confiscation of proceeds </w:t>
      </w:r>
      <w:r>
        <w:rPr>
          <w:rFonts w:ascii="Times New Roman" w:hAnsi="Times New Roman" w:cs="Times New Roman"/>
          <w:sz w:val="24"/>
          <w:szCs w:val="24"/>
          <w:lang w:val="en-US"/>
        </w:rPr>
        <w:t>from crime</w:t>
      </w:r>
      <w:r w:rsidRPr="001629A4">
        <w:rPr>
          <w:rFonts w:ascii="Times New Roman" w:hAnsi="Times New Roman" w:cs="Times New Roman"/>
          <w:sz w:val="24"/>
          <w:szCs w:val="24"/>
          <w:lang w:val="en-US"/>
        </w:rPr>
        <w:t xml:space="preserve"> and other crime related property </w:t>
      </w:r>
      <w:r w:rsidRPr="001629A4">
        <w:rPr>
          <w:rFonts w:ascii="Times New Roman" w:hAnsi="Times New Roman" w:cs="Times New Roman"/>
          <w:sz w:val="24"/>
          <w:szCs w:val="24"/>
          <w:lang w:val="en-US"/>
        </w:rPr>
        <w:noBreakHyphen/>
        <w:t> Camden Assets Recovery Inter-Agency Network (</w:t>
      </w:r>
      <w:r w:rsidR="00867021" w:rsidRPr="00943284">
        <w:rPr>
          <w:rFonts w:ascii="Times New Roman" w:hAnsi="Times New Roman" w:cs="Times New Roman"/>
          <w:sz w:val="24"/>
          <w:szCs w:val="24"/>
        </w:rPr>
        <w:t xml:space="preserve">hereinafter referred to as </w:t>
      </w:r>
      <w:r w:rsidR="00867021">
        <w:rPr>
          <w:rFonts w:ascii="Times New Roman" w:hAnsi="Times New Roman" w:cs="Times New Roman"/>
          <w:sz w:val="24"/>
          <w:szCs w:val="24"/>
        </w:rPr>
        <w:t>“</w:t>
      </w:r>
      <w:r w:rsidRPr="001629A4">
        <w:rPr>
          <w:rFonts w:ascii="Times New Roman" w:hAnsi="Times New Roman" w:cs="Times New Roman"/>
          <w:sz w:val="24"/>
          <w:szCs w:val="24"/>
          <w:lang w:val="en-US"/>
        </w:rPr>
        <w:t>CARIN</w:t>
      </w:r>
      <w:r w:rsidR="00867021">
        <w:rPr>
          <w:rFonts w:ascii="Times New Roman" w:hAnsi="Times New Roman" w:cs="Times New Roman"/>
          <w:sz w:val="24"/>
          <w:szCs w:val="24"/>
          <w:lang w:val="en-US"/>
        </w:rPr>
        <w:t>”</w:t>
      </w:r>
      <w:r>
        <w:rPr>
          <w:rFonts w:ascii="Times New Roman" w:hAnsi="Times New Roman" w:cs="Times New Roman"/>
          <w:sz w:val="24"/>
          <w:szCs w:val="24"/>
          <w:lang w:val="en-US"/>
        </w:rPr>
        <w:t>)</w:t>
      </w:r>
      <w:r w:rsidRPr="001629A4">
        <w:rPr>
          <w:rFonts w:ascii="Times New Roman" w:hAnsi="Times New Roman" w:cs="Times New Roman"/>
          <w:sz w:val="24"/>
          <w:szCs w:val="24"/>
          <w:lang w:val="en-US"/>
        </w:rPr>
        <w:t>.</w:t>
      </w:r>
    </w:p>
    <w:p w:rsidR="00BA0E3A" w:rsidRPr="00250D49" w:rsidRDefault="00BA0E3A" w:rsidP="00BA0E3A">
      <w:pPr>
        <w:spacing w:before="100" w:beforeAutospacing="1" w:after="100" w:afterAutospacing="1" w:line="240" w:lineRule="auto"/>
        <w:ind w:firstLineChars="295" w:firstLine="708"/>
        <w:jc w:val="both"/>
        <w:rPr>
          <w:rFonts w:ascii="Times New Roman" w:hAnsi="Times New Roman" w:cs="Times New Roman"/>
          <w:sz w:val="24"/>
          <w:szCs w:val="24"/>
        </w:rPr>
      </w:pPr>
      <w:r w:rsidRPr="00250D49">
        <w:rPr>
          <w:rFonts w:ascii="Times New Roman" w:hAnsi="Times New Roman" w:cs="Times New Roman"/>
          <w:sz w:val="24"/>
          <w:szCs w:val="24"/>
        </w:rPr>
        <w:t>In 2013 the Property Ch</w:t>
      </w:r>
      <w:r>
        <w:rPr>
          <w:rFonts w:ascii="Times New Roman" w:hAnsi="Times New Roman" w:cs="Times New Roman"/>
          <w:sz w:val="24"/>
          <w:szCs w:val="24"/>
        </w:rPr>
        <w:t>e</w:t>
      </w:r>
      <w:r w:rsidRPr="00250D49">
        <w:rPr>
          <w:rFonts w:ascii="Times New Roman" w:hAnsi="Times New Roman" w:cs="Times New Roman"/>
          <w:sz w:val="24"/>
          <w:szCs w:val="24"/>
        </w:rPr>
        <w:t xml:space="preserve">ck-up Department received together 27 requests for a complete property profile sent by various police departments in Slovakia, international cooperation was used in five cases </w:t>
      </w:r>
      <w:r>
        <w:rPr>
          <w:rFonts w:ascii="Times New Roman" w:hAnsi="Times New Roman" w:cs="Times New Roman"/>
          <w:sz w:val="24"/>
          <w:szCs w:val="24"/>
        </w:rPr>
        <w:t>with partner AROs, but also with</w:t>
      </w:r>
      <w:r w:rsidRPr="00250D49">
        <w:rPr>
          <w:rFonts w:ascii="Times New Roman" w:hAnsi="Times New Roman" w:cs="Times New Roman"/>
          <w:sz w:val="24"/>
          <w:szCs w:val="24"/>
        </w:rPr>
        <w:t xml:space="preserve"> CARIN. For the </w:t>
      </w:r>
      <w:r>
        <w:rPr>
          <w:rFonts w:ascii="Times New Roman" w:hAnsi="Times New Roman" w:cs="Times New Roman"/>
          <w:sz w:val="24"/>
          <w:szCs w:val="24"/>
        </w:rPr>
        <w:lastRenderedPageBreak/>
        <w:t>e</w:t>
      </w:r>
      <w:r w:rsidRPr="00250D49">
        <w:rPr>
          <w:rFonts w:ascii="Times New Roman" w:hAnsi="Times New Roman" w:cs="Times New Roman"/>
          <w:sz w:val="24"/>
          <w:szCs w:val="24"/>
        </w:rPr>
        <w:t xml:space="preserve">valuated period the Property Check-up Department received 48 requests for information from foreign AROs. </w:t>
      </w:r>
    </w:p>
    <w:p w:rsidR="00BA0E3A" w:rsidRPr="00250D49" w:rsidRDefault="00BA0E3A" w:rsidP="00BA0E3A">
      <w:pPr>
        <w:spacing w:before="100" w:beforeAutospacing="1" w:after="100" w:afterAutospacing="1" w:line="240" w:lineRule="auto"/>
        <w:ind w:firstLineChars="295" w:firstLine="708"/>
        <w:jc w:val="both"/>
        <w:rPr>
          <w:rFonts w:ascii="Times New Roman" w:hAnsi="Times New Roman" w:cs="Times New Roman"/>
          <w:sz w:val="24"/>
          <w:szCs w:val="24"/>
        </w:rPr>
      </w:pPr>
      <w:r w:rsidRPr="00250D49">
        <w:rPr>
          <w:rFonts w:ascii="Times New Roman" w:hAnsi="Times New Roman" w:cs="Times New Roman"/>
          <w:sz w:val="24"/>
          <w:szCs w:val="24"/>
        </w:rPr>
        <w:t>From t</w:t>
      </w:r>
      <w:r>
        <w:rPr>
          <w:rFonts w:ascii="Times New Roman" w:hAnsi="Times New Roman" w:cs="Times New Roman"/>
          <w:sz w:val="24"/>
          <w:szCs w:val="24"/>
        </w:rPr>
        <w:t>he year 2012 remained in examination</w:t>
      </w:r>
      <w:r w:rsidRPr="00250D49">
        <w:rPr>
          <w:rFonts w:ascii="Times New Roman" w:hAnsi="Times New Roman" w:cs="Times New Roman"/>
          <w:sz w:val="24"/>
          <w:szCs w:val="24"/>
        </w:rPr>
        <w:t xml:space="preserve"> 20 requests (7 requests from Slovak police departments and 13 requests from abroad). The police officers of the Property Check-up Department received together 95 requests for the valuated period. The mentioned police officers sent 28 complete property profiles </w:t>
      </w:r>
      <w:r>
        <w:rPr>
          <w:rFonts w:ascii="Times New Roman" w:hAnsi="Times New Roman" w:cs="Times New Roman"/>
          <w:sz w:val="24"/>
          <w:szCs w:val="24"/>
        </w:rPr>
        <w:t>to</w:t>
      </w:r>
      <w:r w:rsidRPr="00250D49">
        <w:rPr>
          <w:rFonts w:ascii="Times New Roman" w:hAnsi="Times New Roman" w:cs="Times New Roman"/>
          <w:sz w:val="24"/>
          <w:szCs w:val="24"/>
        </w:rPr>
        <w:t xml:space="preserve"> police departments in Slovakia and 52 replies to requests from foreign partners. To the date 3</w:t>
      </w:r>
      <w:r>
        <w:rPr>
          <w:rFonts w:ascii="Times New Roman" w:hAnsi="Times New Roman" w:cs="Times New Roman"/>
          <w:sz w:val="24"/>
          <w:szCs w:val="24"/>
        </w:rPr>
        <w:t>1.12.2013 remained in examination</w:t>
      </w:r>
      <w:r w:rsidRPr="00250D49">
        <w:rPr>
          <w:rFonts w:ascii="Times New Roman" w:hAnsi="Times New Roman" w:cs="Times New Roman"/>
          <w:sz w:val="24"/>
          <w:szCs w:val="24"/>
        </w:rPr>
        <w:t xml:space="preserve"> 15 requests (6 requests from Slovak police departments and 9 requests from abroad).</w:t>
      </w:r>
    </w:p>
    <w:p w:rsidR="00BA0E3A" w:rsidRPr="00E4343F" w:rsidRDefault="00BA0E3A" w:rsidP="00BA0E3A">
      <w:pPr>
        <w:spacing w:after="0"/>
        <w:jc w:val="both"/>
        <w:rPr>
          <w:rFonts w:ascii="Times New Roman" w:hAnsi="Times New Roman" w:cs="Times New Roman"/>
          <w:sz w:val="20"/>
          <w:szCs w:val="20"/>
        </w:rPr>
      </w:pPr>
      <w:r>
        <w:rPr>
          <w:rFonts w:ascii="Times New Roman" w:hAnsi="Times New Roman" w:cs="Times New Roman"/>
          <w:sz w:val="20"/>
          <w:szCs w:val="20"/>
        </w:rPr>
        <w:t>Chart</w:t>
      </w:r>
      <w:r w:rsidRPr="00E4343F">
        <w:rPr>
          <w:rFonts w:ascii="Times New Roman" w:hAnsi="Times New Roman" w:cs="Times New Roman"/>
          <w:sz w:val="20"/>
          <w:szCs w:val="20"/>
        </w:rPr>
        <w:t xml:space="preserve"> No. 12: Number of property profiles elaborated by the Property Check-up Department in 2011 – 2013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984"/>
        <w:gridCol w:w="3257"/>
        <w:gridCol w:w="2303"/>
      </w:tblGrid>
      <w:tr w:rsidR="00BA0E3A" w:rsidRPr="00E4343F" w:rsidTr="00BA0E3A">
        <w:trPr>
          <w:trHeight w:val="792"/>
        </w:trPr>
        <w:tc>
          <w:tcPr>
            <w:tcW w:w="1560" w:type="dxa"/>
            <w:vAlign w:val="center"/>
          </w:tcPr>
          <w:p w:rsidR="00BA0E3A" w:rsidRPr="00E4343F" w:rsidRDefault="00BA0E3A" w:rsidP="00BA0E3A">
            <w:pPr>
              <w:spacing w:after="0"/>
              <w:jc w:val="center"/>
              <w:rPr>
                <w:rFonts w:ascii="Times New Roman" w:hAnsi="Times New Roman" w:cs="Times New Roman"/>
                <w:b/>
                <w:bCs/>
                <w:sz w:val="20"/>
                <w:szCs w:val="20"/>
              </w:rPr>
            </w:pPr>
            <w:r w:rsidRPr="00E4343F">
              <w:rPr>
                <w:rFonts w:ascii="Times New Roman" w:hAnsi="Times New Roman" w:cs="Times New Roman"/>
                <w:b/>
                <w:bCs/>
                <w:sz w:val="20"/>
                <w:szCs w:val="20"/>
              </w:rPr>
              <w:t>YEAR</w:t>
            </w:r>
          </w:p>
        </w:tc>
        <w:tc>
          <w:tcPr>
            <w:tcW w:w="1984" w:type="dxa"/>
            <w:vAlign w:val="center"/>
          </w:tcPr>
          <w:p w:rsidR="00BA0E3A" w:rsidRPr="00E4343F" w:rsidRDefault="00BA0E3A" w:rsidP="00BA0E3A">
            <w:pPr>
              <w:spacing w:after="0"/>
              <w:jc w:val="center"/>
              <w:rPr>
                <w:rFonts w:ascii="Times New Roman" w:hAnsi="Times New Roman" w:cs="Times New Roman"/>
                <w:b/>
                <w:bCs/>
                <w:sz w:val="20"/>
                <w:szCs w:val="20"/>
              </w:rPr>
            </w:pPr>
          </w:p>
          <w:p w:rsidR="00BA0E3A" w:rsidRPr="00E4343F" w:rsidRDefault="00BA0E3A" w:rsidP="00BA0E3A">
            <w:pPr>
              <w:spacing w:after="0"/>
              <w:jc w:val="center"/>
              <w:rPr>
                <w:rFonts w:ascii="Times New Roman" w:hAnsi="Times New Roman" w:cs="Times New Roman"/>
                <w:b/>
                <w:bCs/>
                <w:sz w:val="20"/>
                <w:szCs w:val="20"/>
              </w:rPr>
            </w:pPr>
            <w:r w:rsidRPr="00E4343F">
              <w:rPr>
                <w:rFonts w:ascii="Times New Roman" w:hAnsi="Times New Roman" w:cs="Times New Roman"/>
                <w:b/>
                <w:bCs/>
                <w:sz w:val="20"/>
                <w:szCs w:val="20"/>
              </w:rPr>
              <w:t xml:space="preserve">REQUESTS FROM SLOVAK POLICE DEPARTMENTS </w:t>
            </w:r>
          </w:p>
        </w:tc>
        <w:tc>
          <w:tcPr>
            <w:tcW w:w="3257" w:type="dxa"/>
            <w:vAlign w:val="center"/>
          </w:tcPr>
          <w:p w:rsidR="00BA0E3A" w:rsidRPr="00E4343F" w:rsidRDefault="00BA0E3A" w:rsidP="00BA0E3A">
            <w:pPr>
              <w:spacing w:after="0"/>
              <w:rPr>
                <w:rFonts w:ascii="Times New Roman" w:hAnsi="Times New Roman" w:cs="Times New Roman"/>
                <w:b/>
                <w:bCs/>
                <w:sz w:val="20"/>
                <w:szCs w:val="20"/>
              </w:rPr>
            </w:pPr>
          </w:p>
          <w:p w:rsidR="00BA0E3A" w:rsidRPr="00E4343F" w:rsidRDefault="00BA0E3A" w:rsidP="00BA0E3A">
            <w:pPr>
              <w:spacing w:after="0"/>
              <w:jc w:val="center"/>
              <w:rPr>
                <w:rFonts w:ascii="Times New Roman" w:hAnsi="Times New Roman" w:cs="Times New Roman"/>
                <w:b/>
                <w:bCs/>
                <w:sz w:val="20"/>
                <w:szCs w:val="20"/>
              </w:rPr>
            </w:pPr>
            <w:r w:rsidRPr="00E4343F">
              <w:rPr>
                <w:rFonts w:ascii="Times New Roman" w:hAnsi="Times New Roman" w:cs="Times New Roman"/>
                <w:b/>
                <w:bCs/>
                <w:sz w:val="20"/>
                <w:szCs w:val="20"/>
              </w:rPr>
              <w:t>REQUESTS FROM FOREIGN POLICE DEPARTMENTS</w:t>
            </w:r>
          </w:p>
        </w:tc>
        <w:tc>
          <w:tcPr>
            <w:tcW w:w="2303" w:type="dxa"/>
            <w:vAlign w:val="center"/>
          </w:tcPr>
          <w:p w:rsidR="00BA0E3A" w:rsidRPr="00E4343F" w:rsidRDefault="00BA0E3A" w:rsidP="00BA0E3A">
            <w:pPr>
              <w:spacing w:after="0"/>
              <w:jc w:val="center"/>
              <w:rPr>
                <w:rFonts w:ascii="Times New Roman" w:hAnsi="Times New Roman" w:cs="Times New Roman"/>
                <w:b/>
                <w:bCs/>
                <w:sz w:val="20"/>
                <w:szCs w:val="20"/>
              </w:rPr>
            </w:pPr>
          </w:p>
          <w:p w:rsidR="00BA0E3A" w:rsidRPr="00E4343F" w:rsidRDefault="00BA0E3A" w:rsidP="00BA0E3A">
            <w:pPr>
              <w:spacing w:after="0"/>
              <w:jc w:val="center"/>
              <w:rPr>
                <w:rFonts w:ascii="Times New Roman" w:hAnsi="Times New Roman" w:cs="Times New Roman"/>
                <w:b/>
                <w:bCs/>
                <w:sz w:val="20"/>
                <w:szCs w:val="20"/>
              </w:rPr>
            </w:pPr>
            <w:r w:rsidRPr="00E4343F">
              <w:rPr>
                <w:rFonts w:ascii="Times New Roman" w:hAnsi="Times New Roman" w:cs="Times New Roman"/>
                <w:b/>
                <w:bCs/>
                <w:sz w:val="20"/>
                <w:szCs w:val="20"/>
              </w:rPr>
              <w:t xml:space="preserve">REQUESTS FOR LEGAL ASSISTANCE SENT BY </w:t>
            </w:r>
            <w:r>
              <w:rPr>
                <w:rFonts w:ascii="Times New Roman" w:hAnsi="Times New Roman" w:cs="Times New Roman"/>
                <w:b/>
                <w:bCs/>
                <w:sz w:val="20"/>
                <w:szCs w:val="20"/>
              </w:rPr>
              <w:t xml:space="preserve">THE </w:t>
            </w:r>
            <w:r w:rsidRPr="00E4343F">
              <w:rPr>
                <w:rFonts w:ascii="Times New Roman" w:hAnsi="Times New Roman" w:cs="Times New Roman"/>
                <w:b/>
                <w:bCs/>
                <w:sz w:val="20"/>
                <w:szCs w:val="20"/>
              </w:rPr>
              <w:t>GENERAL PROSECUTOR´S OFFICE OF THE SLOVAK REPUBLIC</w:t>
            </w:r>
          </w:p>
        </w:tc>
      </w:tr>
      <w:tr w:rsidR="00BA0E3A" w:rsidRPr="00E4343F" w:rsidTr="00BA0E3A">
        <w:tc>
          <w:tcPr>
            <w:tcW w:w="1560" w:type="dxa"/>
          </w:tcPr>
          <w:p w:rsidR="00BA0E3A" w:rsidRPr="00E4343F" w:rsidRDefault="00BA0E3A" w:rsidP="00BA0E3A">
            <w:pPr>
              <w:spacing w:after="0"/>
              <w:jc w:val="center"/>
              <w:rPr>
                <w:rFonts w:ascii="Times New Roman" w:hAnsi="Times New Roman" w:cs="Times New Roman"/>
                <w:b/>
                <w:bCs/>
                <w:sz w:val="24"/>
                <w:szCs w:val="24"/>
              </w:rPr>
            </w:pPr>
            <w:r w:rsidRPr="00E4343F">
              <w:rPr>
                <w:rFonts w:ascii="Times New Roman" w:hAnsi="Times New Roman" w:cs="Times New Roman"/>
                <w:b/>
                <w:bCs/>
                <w:sz w:val="24"/>
                <w:szCs w:val="24"/>
              </w:rPr>
              <w:t>2011</w:t>
            </w:r>
          </w:p>
        </w:tc>
        <w:tc>
          <w:tcPr>
            <w:tcW w:w="1984" w:type="dxa"/>
          </w:tcPr>
          <w:p w:rsidR="00BA0E3A" w:rsidRPr="00E4343F" w:rsidRDefault="00BA0E3A" w:rsidP="00BA0E3A">
            <w:pPr>
              <w:spacing w:after="0"/>
              <w:jc w:val="center"/>
              <w:rPr>
                <w:rFonts w:ascii="Times New Roman" w:hAnsi="Times New Roman" w:cs="Times New Roman"/>
                <w:sz w:val="24"/>
                <w:szCs w:val="24"/>
              </w:rPr>
            </w:pPr>
            <w:r w:rsidRPr="00E4343F">
              <w:rPr>
                <w:rFonts w:ascii="Times New Roman" w:hAnsi="Times New Roman" w:cs="Times New Roman"/>
                <w:sz w:val="24"/>
                <w:szCs w:val="24"/>
              </w:rPr>
              <w:t>20</w:t>
            </w:r>
          </w:p>
        </w:tc>
        <w:tc>
          <w:tcPr>
            <w:tcW w:w="3257" w:type="dxa"/>
          </w:tcPr>
          <w:p w:rsidR="00BA0E3A" w:rsidRPr="00E4343F" w:rsidRDefault="00BA0E3A" w:rsidP="00BA0E3A">
            <w:pPr>
              <w:spacing w:after="0"/>
              <w:jc w:val="center"/>
              <w:rPr>
                <w:rFonts w:ascii="Times New Roman" w:hAnsi="Times New Roman" w:cs="Times New Roman"/>
                <w:sz w:val="24"/>
                <w:szCs w:val="24"/>
              </w:rPr>
            </w:pPr>
            <w:r w:rsidRPr="00E4343F">
              <w:rPr>
                <w:rFonts w:ascii="Times New Roman" w:hAnsi="Times New Roman" w:cs="Times New Roman"/>
                <w:sz w:val="24"/>
                <w:szCs w:val="24"/>
              </w:rPr>
              <w:t>32</w:t>
            </w:r>
          </w:p>
        </w:tc>
        <w:tc>
          <w:tcPr>
            <w:tcW w:w="2303" w:type="dxa"/>
          </w:tcPr>
          <w:p w:rsidR="00BA0E3A" w:rsidRPr="00E4343F" w:rsidRDefault="00BA0E3A" w:rsidP="00BA0E3A">
            <w:pPr>
              <w:spacing w:after="0"/>
              <w:jc w:val="center"/>
              <w:rPr>
                <w:rFonts w:ascii="Times New Roman" w:hAnsi="Times New Roman" w:cs="Times New Roman"/>
                <w:sz w:val="24"/>
                <w:szCs w:val="24"/>
              </w:rPr>
            </w:pPr>
            <w:r w:rsidRPr="00E4343F">
              <w:rPr>
                <w:rFonts w:ascii="Times New Roman" w:hAnsi="Times New Roman" w:cs="Times New Roman"/>
                <w:sz w:val="24"/>
                <w:szCs w:val="24"/>
              </w:rPr>
              <w:t>1</w:t>
            </w:r>
          </w:p>
        </w:tc>
      </w:tr>
      <w:tr w:rsidR="00BA0E3A" w:rsidRPr="00E4343F" w:rsidTr="00BA0E3A">
        <w:tc>
          <w:tcPr>
            <w:tcW w:w="1560" w:type="dxa"/>
          </w:tcPr>
          <w:p w:rsidR="00BA0E3A" w:rsidRPr="00E4343F" w:rsidRDefault="00BA0E3A" w:rsidP="00BA0E3A">
            <w:pPr>
              <w:spacing w:after="0"/>
              <w:jc w:val="center"/>
              <w:rPr>
                <w:rFonts w:ascii="Times New Roman" w:hAnsi="Times New Roman" w:cs="Times New Roman"/>
                <w:b/>
                <w:bCs/>
                <w:sz w:val="24"/>
                <w:szCs w:val="24"/>
              </w:rPr>
            </w:pPr>
            <w:r w:rsidRPr="00E4343F">
              <w:rPr>
                <w:rFonts w:ascii="Times New Roman" w:hAnsi="Times New Roman" w:cs="Times New Roman"/>
                <w:b/>
                <w:bCs/>
                <w:sz w:val="24"/>
                <w:szCs w:val="24"/>
              </w:rPr>
              <w:t>2012</w:t>
            </w:r>
          </w:p>
        </w:tc>
        <w:tc>
          <w:tcPr>
            <w:tcW w:w="1984" w:type="dxa"/>
          </w:tcPr>
          <w:p w:rsidR="00BA0E3A" w:rsidRPr="00E4343F" w:rsidRDefault="00BA0E3A" w:rsidP="00BA0E3A">
            <w:pPr>
              <w:spacing w:after="0"/>
              <w:jc w:val="center"/>
              <w:rPr>
                <w:rFonts w:ascii="Times New Roman" w:hAnsi="Times New Roman" w:cs="Times New Roman"/>
                <w:sz w:val="24"/>
                <w:szCs w:val="24"/>
              </w:rPr>
            </w:pPr>
            <w:r w:rsidRPr="00E4343F">
              <w:rPr>
                <w:rFonts w:ascii="Times New Roman" w:hAnsi="Times New Roman" w:cs="Times New Roman"/>
                <w:sz w:val="24"/>
                <w:szCs w:val="24"/>
              </w:rPr>
              <w:t>19</w:t>
            </w:r>
          </w:p>
        </w:tc>
        <w:tc>
          <w:tcPr>
            <w:tcW w:w="3257" w:type="dxa"/>
          </w:tcPr>
          <w:p w:rsidR="00BA0E3A" w:rsidRPr="00E4343F" w:rsidRDefault="00BA0E3A" w:rsidP="00BA0E3A">
            <w:pPr>
              <w:spacing w:after="0"/>
              <w:jc w:val="center"/>
              <w:rPr>
                <w:rFonts w:ascii="Times New Roman" w:hAnsi="Times New Roman" w:cs="Times New Roman"/>
                <w:sz w:val="24"/>
                <w:szCs w:val="24"/>
              </w:rPr>
            </w:pPr>
            <w:r w:rsidRPr="00E4343F">
              <w:rPr>
                <w:rFonts w:ascii="Times New Roman" w:hAnsi="Times New Roman" w:cs="Times New Roman"/>
                <w:sz w:val="24"/>
                <w:szCs w:val="24"/>
              </w:rPr>
              <w:t>21</w:t>
            </w:r>
          </w:p>
        </w:tc>
        <w:tc>
          <w:tcPr>
            <w:tcW w:w="2303" w:type="dxa"/>
          </w:tcPr>
          <w:p w:rsidR="00BA0E3A" w:rsidRPr="00E4343F" w:rsidRDefault="00BA0E3A" w:rsidP="00BA0E3A">
            <w:pPr>
              <w:spacing w:after="0"/>
              <w:jc w:val="center"/>
              <w:rPr>
                <w:rFonts w:ascii="Times New Roman" w:hAnsi="Times New Roman" w:cs="Times New Roman"/>
                <w:sz w:val="24"/>
                <w:szCs w:val="24"/>
              </w:rPr>
            </w:pPr>
            <w:r w:rsidRPr="00E4343F">
              <w:rPr>
                <w:rFonts w:ascii="Times New Roman" w:hAnsi="Times New Roman" w:cs="Times New Roman"/>
                <w:sz w:val="24"/>
                <w:szCs w:val="24"/>
              </w:rPr>
              <w:t>0</w:t>
            </w:r>
          </w:p>
        </w:tc>
      </w:tr>
      <w:tr w:rsidR="00BA0E3A" w:rsidRPr="00E14330" w:rsidTr="00BA0E3A">
        <w:tc>
          <w:tcPr>
            <w:tcW w:w="1560" w:type="dxa"/>
          </w:tcPr>
          <w:p w:rsidR="00BA0E3A" w:rsidRPr="00E4343F" w:rsidRDefault="00BA0E3A" w:rsidP="00BA0E3A">
            <w:pPr>
              <w:spacing w:after="0"/>
              <w:jc w:val="center"/>
              <w:rPr>
                <w:rFonts w:ascii="Times New Roman" w:hAnsi="Times New Roman" w:cs="Times New Roman"/>
                <w:b/>
                <w:bCs/>
                <w:sz w:val="24"/>
                <w:szCs w:val="24"/>
              </w:rPr>
            </w:pPr>
            <w:r w:rsidRPr="00E4343F">
              <w:rPr>
                <w:rFonts w:ascii="Times New Roman" w:hAnsi="Times New Roman" w:cs="Times New Roman"/>
                <w:b/>
                <w:bCs/>
                <w:sz w:val="24"/>
                <w:szCs w:val="24"/>
              </w:rPr>
              <w:t>2013</w:t>
            </w:r>
          </w:p>
        </w:tc>
        <w:tc>
          <w:tcPr>
            <w:tcW w:w="1984" w:type="dxa"/>
          </w:tcPr>
          <w:p w:rsidR="00BA0E3A" w:rsidRPr="00E4343F" w:rsidRDefault="00BA0E3A" w:rsidP="00BA0E3A">
            <w:pPr>
              <w:spacing w:after="0"/>
              <w:jc w:val="center"/>
              <w:rPr>
                <w:rFonts w:ascii="Times New Roman" w:hAnsi="Times New Roman" w:cs="Times New Roman"/>
                <w:sz w:val="24"/>
                <w:szCs w:val="24"/>
              </w:rPr>
            </w:pPr>
            <w:r w:rsidRPr="00E4343F">
              <w:rPr>
                <w:rFonts w:ascii="Times New Roman" w:hAnsi="Times New Roman" w:cs="Times New Roman"/>
                <w:sz w:val="24"/>
                <w:szCs w:val="24"/>
              </w:rPr>
              <w:t>27</w:t>
            </w:r>
          </w:p>
        </w:tc>
        <w:tc>
          <w:tcPr>
            <w:tcW w:w="3257" w:type="dxa"/>
          </w:tcPr>
          <w:p w:rsidR="00BA0E3A" w:rsidRPr="00E4343F" w:rsidRDefault="00BA0E3A" w:rsidP="00BA0E3A">
            <w:pPr>
              <w:spacing w:after="0"/>
              <w:jc w:val="center"/>
              <w:rPr>
                <w:rFonts w:ascii="Times New Roman" w:hAnsi="Times New Roman" w:cs="Times New Roman"/>
                <w:sz w:val="24"/>
                <w:szCs w:val="24"/>
              </w:rPr>
            </w:pPr>
            <w:r w:rsidRPr="00E4343F">
              <w:rPr>
                <w:rFonts w:ascii="Times New Roman" w:hAnsi="Times New Roman" w:cs="Times New Roman"/>
                <w:sz w:val="24"/>
                <w:szCs w:val="24"/>
              </w:rPr>
              <w:t>48</w:t>
            </w:r>
          </w:p>
        </w:tc>
        <w:tc>
          <w:tcPr>
            <w:tcW w:w="2303" w:type="dxa"/>
          </w:tcPr>
          <w:p w:rsidR="00BA0E3A" w:rsidRPr="00E4343F" w:rsidRDefault="00BA0E3A" w:rsidP="00BA0E3A">
            <w:pPr>
              <w:spacing w:after="0"/>
              <w:jc w:val="center"/>
              <w:rPr>
                <w:rFonts w:ascii="Times New Roman" w:hAnsi="Times New Roman" w:cs="Times New Roman"/>
                <w:sz w:val="24"/>
                <w:szCs w:val="24"/>
              </w:rPr>
            </w:pPr>
            <w:r w:rsidRPr="00E4343F">
              <w:rPr>
                <w:rFonts w:ascii="Times New Roman" w:hAnsi="Times New Roman" w:cs="Times New Roman"/>
                <w:sz w:val="24"/>
                <w:szCs w:val="24"/>
              </w:rPr>
              <w:t>0</w:t>
            </w:r>
          </w:p>
        </w:tc>
      </w:tr>
    </w:tbl>
    <w:p w:rsidR="00BA0E3A" w:rsidRPr="00E14330" w:rsidRDefault="00BA0E3A" w:rsidP="00BA0E3A">
      <w:pPr>
        <w:spacing w:after="0"/>
        <w:jc w:val="both"/>
        <w:rPr>
          <w:rFonts w:ascii="Times New Roman" w:hAnsi="Times New Roman" w:cs="Times New Roman"/>
          <w:sz w:val="24"/>
          <w:szCs w:val="24"/>
          <w:highlight w:val="cyan"/>
        </w:rPr>
      </w:pPr>
    </w:p>
    <w:p w:rsidR="00BA0E3A" w:rsidRPr="00E4343F" w:rsidRDefault="00BA0E3A" w:rsidP="00BA0E3A">
      <w:pPr>
        <w:spacing w:after="100" w:afterAutospacing="1" w:line="240" w:lineRule="auto"/>
        <w:ind w:firstLine="709"/>
        <w:jc w:val="both"/>
        <w:rPr>
          <w:rFonts w:ascii="Times New Roman" w:eastAsia="Times New Roman" w:hAnsi="Times New Roman" w:cs="Times New Roman"/>
          <w:sz w:val="24"/>
          <w:szCs w:val="24"/>
          <w:lang w:eastAsia="sk-SK"/>
        </w:rPr>
      </w:pPr>
      <w:r w:rsidRPr="00E4343F">
        <w:rPr>
          <w:rFonts w:ascii="Times New Roman" w:hAnsi="Times New Roman" w:cs="Times New Roman"/>
          <w:sz w:val="24"/>
          <w:szCs w:val="24"/>
        </w:rPr>
        <w:t xml:space="preserve">In the year 2013 FSJ carried out the most intense cooperation with the National Unit of Financial Police, National Anti-Corruption Unit and National Anti-Crime Unit. With regard to the international cooperation the most intense was the mutual cooperation with the ARO of the Czech Republic and with the ARO of the Hungary. </w:t>
      </w:r>
    </w:p>
    <w:p w:rsidR="00BA0E3A" w:rsidRPr="00E138E3" w:rsidRDefault="00BA0E3A" w:rsidP="00BA0E3A">
      <w:pPr>
        <w:keepNext/>
        <w:spacing w:after="0" w:line="240" w:lineRule="auto"/>
        <w:outlineLvl w:val="1"/>
        <w:rPr>
          <w:rFonts w:ascii="Times New Roman" w:hAnsi="Times New Roman" w:cs="Times New Roman"/>
          <w:b/>
          <w:bCs/>
          <w:sz w:val="24"/>
          <w:szCs w:val="24"/>
          <w:highlight w:val="cyan"/>
        </w:rPr>
      </w:pPr>
      <w:bookmarkStart w:id="41" w:name="_Toc382129840"/>
      <w:bookmarkStart w:id="42" w:name="_Toc382130002"/>
      <w:bookmarkStart w:id="43" w:name="_Toc382130533"/>
      <w:bookmarkStart w:id="44" w:name="_Toc382141492"/>
      <w:bookmarkStart w:id="45" w:name="_Toc382141689"/>
      <w:r w:rsidRPr="00E138E3">
        <w:rPr>
          <w:rFonts w:ascii="Times New Roman" w:hAnsi="Times New Roman" w:cs="Times New Roman"/>
          <w:b/>
          <w:bCs/>
          <w:sz w:val="24"/>
          <w:szCs w:val="24"/>
        </w:rPr>
        <w:t xml:space="preserve">5.2 Proof of Origin of Property (property </w:t>
      </w:r>
      <w:r>
        <w:rPr>
          <w:rFonts w:ascii="Times New Roman" w:hAnsi="Times New Roman" w:cs="Times New Roman"/>
          <w:b/>
          <w:bCs/>
          <w:sz w:val="24"/>
          <w:szCs w:val="24"/>
        </w:rPr>
        <w:t>verification</w:t>
      </w:r>
      <w:r w:rsidRPr="00E138E3">
        <w:rPr>
          <w:rFonts w:ascii="Times New Roman" w:hAnsi="Times New Roman" w:cs="Times New Roman"/>
          <w:b/>
          <w:bCs/>
          <w:sz w:val="24"/>
          <w:szCs w:val="24"/>
        </w:rPr>
        <w:t>)</w:t>
      </w:r>
      <w:bookmarkEnd w:id="41"/>
      <w:bookmarkEnd w:id="42"/>
      <w:bookmarkEnd w:id="43"/>
      <w:bookmarkEnd w:id="44"/>
      <w:bookmarkEnd w:id="45"/>
    </w:p>
    <w:p w:rsidR="00BA0E3A" w:rsidRPr="00E138E3" w:rsidRDefault="00BA0E3A" w:rsidP="00BA0E3A">
      <w:pPr>
        <w:spacing w:after="0" w:line="240" w:lineRule="auto"/>
        <w:jc w:val="both"/>
        <w:rPr>
          <w:rFonts w:ascii="Times New Roman" w:hAnsi="Times New Roman" w:cs="Times New Roman"/>
          <w:sz w:val="24"/>
          <w:szCs w:val="24"/>
          <w:highlight w:val="cyan"/>
          <w:u w:val="single"/>
        </w:rPr>
      </w:pPr>
    </w:p>
    <w:p w:rsidR="00BA0E3A" w:rsidRPr="00E14330" w:rsidRDefault="00BA0E3A" w:rsidP="00BA0E3A">
      <w:pPr>
        <w:spacing w:after="0" w:line="240" w:lineRule="auto"/>
        <w:ind w:firstLine="709"/>
        <w:jc w:val="both"/>
        <w:rPr>
          <w:rFonts w:ascii="Times New Roman" w:hAnsi="Times New Roman" w:cs="Times New Roman"/>
          <w:sz w:val="24"/>
          <w:szCs w:val="24"/>
          <w:highlight w:val="cyan"/>
        </w:rPr>
      </w:pPr>
      <w:r w:rsidRPr="00E138E3">
        <w:rPr>
          <w:rFonts w:ascii="Times New Roman" w:hAnsi="Times New Roman" w:cs="Times New Roman"/>
          <w:sz w:val="24"/>
          <w:szCs w:val="24"/>
        </w:rPr>
        <w:t xml:space="preserve">According to the internal Act on the management of FSJ the Property Check-up Department acts as a coordinator and methodical </w:t>
      </w:r>
      <w:r>
        <w:rPr>
          <w:rFonts w:ascii="Times New Roman" w:hAnsi="Times New Roman" w:cs="Times New Roman"/>
          <w:sz w:val="24"/>
          <w:szCs w:val="24"/>
        </w:rPr>
        <w:t xml:space="preserve">authority, a </w:t>
      </w:r>
      <w:r w:rsidRPr="00E138E3">
        <w:rPr>
          <w:rFonts w:ascii="Times New Roman" w:hAnsi="Times New Roman" w:cs="Times New Roman"/>
          <w:sz w:val="24"/>
          <w:szCs w:val="24"/>
        </w:rPr>
        <w:t>review</w:t>
      </w:r>
      <w:r>
        <w:rPr>
          <w:rFonts w:ascii="Times New Roman" w:hAnsi="Times New Roman" w:cs="Times New Roman"/>
          <w:sz w:val="24"/>
          <w:szCs w:val="24"/>
        </w:rPr>
        <w:t>er</w:t>
      </w:r>
      <w:r w:rsidRPr="00E138E3">
        <w:rPr>
          <w:rFonts w:ascii="Times New Roman" w:hAnsi="Times New Roman" w:cs="Times New Roman"/>
          <w:sz w:val="24"/>
          <w:szCs w:val="24"/>
        </w:rPr>
        <w:t xml:space="preserve"> of incomes, property value and the method of acquiring property (hereinafter referred to as „the Proof of Origin of </w:t>
      </w:r>
      <w:r w:rsidR="0007463C">
        <w:rPr>
          <w:rFonts w:ascii="Times New Roman" w:hAnsi="Times New Roman" w:cs="Times New Roman"/>
          <w:sz w:val="24"/>
          <w:szCs w:val="24"/>
        </w:rPr>
        <w:t>the P</w:t>
      </w:r>
      <w:r w:rsidRPr="00E138E3">
        <w:rPr>
          <w:rFonts w:ascii="Times New Roman" w:hAnsi="Times New Roman" w:cs="Times New Roman"/>
          <w:sz w:val="24"/>
          <w:szCs w:val="24"/>
        </w:rPr>
        <w:t>roperty”</w:t>
      </w:r>
      <w:r>
        <w:rPr>
          <w:rFonts w:ascii="Times New Roman" w:hAnsi="Times New Roman" w:cs="Times New Roman"/>
          <w:sz w:val="24"/>
          <w:szCs w:val="24"/>
        </w:rPr>
        <w:t>), in accordance with the Act No. 101/2010 Coll.,</w:t>
      </w:r>
      <w:r w:rsidRPr="00E138E3">
        <w:rPr>
          <w:rFonts w:ascii="Times New Roman" w:hAnsi="Times New Roman" w:cs="Times New Roman"/>
          <w:sz w:val="24"/>
          <w:szCs w:val="24"/>
        </w:rPr>
        <w:t xml:space="preserve"> which regulates the conditions and procedures of public authorities within the </w:t>
      </w:r>
      <w:r>
        <w:rPr>
          <w:rFonts w:ascii="Times New Roman" w:hAnsi="Times New Roman" w:cs="Times New Roman"/>
          <w:sz w:val="24"/>
          <w:szCs w:val="24"/>
        </w:rPr>
        <w:t>confiscation</w:t>
      </w:r>
      <w:r w:rsidRPr="00E138E3">
        <w:rPr>
          <w:rFonts w:ascii="Times New Roman" w:hAnsi="Times New Roman" w:cs="Times New Roman"/>
          <w:sz w:val="24"/>
          <w:szCs w:val="24"/>
        </w:rPr>
        <w:t xml:space="preserve"> of immovable property as well as movable assets, flats and non-housing premises, other property rights and </w:t>
      </w:r>
      <w:r w:rsidRPr="00EA41F0">
        <w:rPr>
          <w:rFonts w:ascii="Times New Roman" w:hAnsi="Times New Roman" w:cs="Times New Roman"/>
          <w:sz w:val="24"/>
          <w:szCs w:val="24"/>
        </w:rPr>
        <w:t xml:space="preserve">other property values, cash in </w:t>
      </w:r>
      <w:r>
        <w:rPr>
          <w:rFonts w:ascii="Times New Roman" w:hAnsi="Times New Roman" w:cs="Times New Roman"/>
          <w:sz w:val="24"/>
          <w:szCs w:val="24"/>
        </w:rPr>
        <w:t>EUR</w:t>
      </w:r>
      <w:r w:rsidRPr="00EA41F0">
        <w:rPr>
          <w:rFonts w:ascii="Times New Roman" w:hAnsi="Times New Roman" w:cs="Times New Roman"/>
          <w:sz w:val="24"/>
          <w:szCs w:val="24"/>
        </w:rPr>
        <w:t xml:space="preserve"> and foreign currency, deposits in banks an</w:t>
      </w:r>
      <w:r>
        <w:rPr>
          <w:rFonts w:ascii="Times New Roman" w:hAnsi="Times New Roman" w:cs="Times New Roman"/>
          <w:sz w:val="24"/>
          <w:szCs w:val="24"/>
        </w:rPr>
        <w:t>d branches of foreign banks in EUR</w:t>
      </w:r>
      <w:r w:rsidRPr="00EA41F0">
        <w:rPr>
          <w:rFonts w:ascii="Times New Roman" w:hAnsi="Times New Roman" w:cs="Times New Roman"/>
          <w:sz w:val="24"/>
          <w:szCs w:val="24"/>
        </w:rPr>
        <w:t xml:space="preserve"> and foreign currency and deposits in banks located abroad belonging to natural persons and legal entities, about which the court declared in proceedings under this Act that they</w:t>
      </w:r>
      <w:r>
        <w:rPr>
          <w:rFonts w:ascii="Times New Roman" w:hAnsi="Times New Roman" w:cs="Times New Roman"/>
          <w:sz w:val="24"/>
          <w:szCs w:val="24"/>
        </w:rPr>
        <w:t xml:space="preserve"> have been</w:t>
      </w:r>
      <w:r w:rsidRPr="00EA41F0">
        <w:rPr>
          <w:rFonts w:ascii="Times New Roman" w:hAnsi="Times New Roman" w:cs="Times New Roman"/>
          <w:sz w:val="24"/>
          <w:szCs w:val="24"/>
        </w:rPr>
        <w:t xml:space="preserve"> acquired </w:t>
      </w:r>
      <w:r>
        <w:rPr>
          <w:rFonts w:ascii="Times New Roman" w:hAnsi="Times New Roman" w:cs="Times New Roman"/>
          <w:sz w:val="24"/>
          <w:szCs w:val="24"/>
        </w:rPr>
        <w:t>as</w:t>
      </w:r>
      <w:r w:rsidRPr="00EA41F0">
        <w:rPr>
          <w:rFonts w:ascii="Times New Roman" w:hAnsi="Times New Roman" w:cs="Times New Roman"/>
          <w:sz w:val="24"/>
          <w:szCs w:val="24"/>
        </w:rPr>
        <w:t xml:space="preserve"> property from proceeds </w:t>
      </w:r>
      <w:r>
        <w:rPr>
          <w:rFonts w:ascii="Times New Roman" w:hAnsi="Times New Roman" w:cs="Times New Roman"/>
          <w:sz w:val="24"/>
          <w:szCs w:val="24"/>
        </w:rPr>
        <w:t>from</w:t>
      </w:r>
      <w:r w:rsidRPr="00EA41F0">
        <w:rPr>
          <w:rFonts w:ascii="Times New Roman" w:hAnsi="Times New Roman" w:cs="Times New Roman"/>
          <w:sz w:val="24"/>
          <w:szCs w:val="24"/>
        </w:rPr>
        <w:t xml:space="preserve"> crime.</w:t>
      </w:r>
    </w:p>
    <w:p w:rsidR="00BA0E3A" w:rsidRDefault="00BA0E3A" w:rsidP="00BA0E3A">
      <w:pPr>
        <w:spacing w:after="0" w:line="240" w:lineRule="auto"/>
        <w:ind w:firstLine="708"/>
        <w:jc w:val="both"/>
        <w:rPr>
          <w:rFonts w:ascii="Times New Roman" w:hAnsi="Times New Roman" w:cs="Times New Roman"/>
          <w:sz w:val="24"/>
          <w:szCs w:val="24"/>
        </w:rPr>
      </w:pPr>
    </w:p>
    <w:p w:rsidR="00BA0E3A" w:rsidRPr="00AF5D72" w:rsidRDefault="00BA0E3A" w:rsidP="00BA0E3A">
      <w:pPr>
        <w:spacing w:after="0" w:line="240" w:lineRule="auto"/>
        <w:ind w:firstLine="708"/>
        <w:jc w:val="both"/>
        <w:rPr>
          <w:rFonts w:ascii="Times New Roman" w:eastAsia="Times New Roman" w:hAnsi="Times New Roman" w:cs="Times New Roman"/>
          <w:sz w:val="24"/>
          <w:szCs w:val="24"/>
          <w:lang w:eastAsia="sk-SK"/>
        </w:rPr>
      </w:pPr>
      <w:r w:rsidRPr="00AA2B17">
        <w:rPr>
          <w:rFonts w:ascii="Times New Roman" w:hAnsi="Times New Roman" w:cs="Times New Roman"/>
          <w:sz w:val="24"/>
          <w:szCs w:val="24"/>
        </w:rPr>
        <w:t>In 2013 FSJ received 11 notifications from natural persons, 1 notification from</w:t>
      </w:r>
      <w:r>
        <w:rPr>
          <w:rFonts w:ascii="Times New Roman" w:hAnsi="Times New Roman" w:cs="Times New Roman"/>
          <w:sz w:val="24"/>
          <w:szCs w:val="24"/>
        </w:rPr>
        <w:t xml:space="preserve"> a</w:t>
      </w:r>
      <w:r w:rsidRPr="00AA2B17">
        <w:rPr>
          <w:rFonts w:ascii="Times New Roman" w:hAnsi="Times New Roman" w:cs="Times New Roman"/>
          <w:sz w:val="24"/>
          <w:szCs w:val="24"/>
        </w:rPr>
        <w:t xml:space="preserve"> public </w:t>
      </w:r>
      <w:r w:rsidRPr="005064D9">
        <w:rPr>
          <w:rFonts w:ascii="Times New Roman" w:hAnsi="Times New Roman" w:cs="Times New Roman"/>
          <w:sz w:val="24"/>
          <w:szCs w:val="24"/>
        </w:rPr>
        <w:t>authority</w:t>
      </w:r>
      <w:r w:rsidRPr="00AF5D72">
        <w:rPr>
          <w:rFonts w:ascii="Times New Roman" w:hAnsi="Times New Roman" w:cs="Times New Roman"/>
          <w:sz w:val="24"/>
          <w:szCs w:val="24"/>
        </w:rPr>
        <w:t xml:space="preserve">. </w:t>
      </w:r>
      <w:r w:rsidRPr="00AF5D72">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n</w:t>
      </w:r>
      <w:r w:rsidRPr="00AF5D72">
        <w:rPr>
          <w:rFonts w:ascii="Times New Roman" w:eastAsia="Times New Roman" w:hAnsi="Times New Roman" w:cs="Times New Roman"/>
          <w:sz w:val="24"/>
          <w:szCs w:val="24"/>
          <w:lang w:eastAsia="sk-SK"/>
        </w:rPr>
        <w:t xml:space="preserve"> its own initiative, the proceedings were initiated in 11 cases and 1 proceeding was initiated by exclusion to </w:t>
      </w:r>
      <w:r>
        <w:rPr>
          <w:rFonts w:ascii="Times New Roman" w:eastAsia="Times New Roman" w:hAnsi="Times New Roman" w:cs="Times New Roman"/>
          <w:sz w:val="24"/>
          <w:szCs w:val="24"/>
          <w:lang w:eastAsia="sk-SK"/>
        </w:rPr>
        <w:t>an</w:t>
      </w:r>
      <w:r w:rsidRPr="00AF5D72">
        <w:rPr>
          <w:rFonts w:ascii="Times New Roman" w:eastAsia="Times New Roman" w:hAnsi="Times New Roman" w:cs="Times New Roman"/>
          <w:sz w:val="24"/>
          <w:szCs w:val="24"/>
          <w:lang w:eastAsia="sk-SK"/>
        </w:rPr>
        <w:t xml:space="preserve"> independent proceeding. From the year 2012 52 cases remained in review, </w:t>
      </w:r>
      <w:r>
        <w:rPr>
          <w:rFonts w:ascii="Times New Roman" w:eastAsia="Times New Roman" w:hAnsi="Times New Roman" w:cs="Times New Roman"/>
          <w:sz w:val="24"/>
          <w:szCs w:val="24"/>
          <w:lang w:eastAsia="sk-SK"/>
        </w:rPr>
        <w:t>1</w:t>
      </w:r>
      <w:r w:rsidRPr="00216AC2">
        <w:rPr>
          <w:rFonts w:ascii="Times New Roman" w:eastAsia="Times New Roman" w:hAnsi="Times New Roman" w:cs="Times New Roman"/>
          <w:sz w:val="24"/>
          <w:szCs w:val="24"/>
          <w:lang w:eastAsia="sk-SK"/>
        </w:rPr>
        <w:t xml:space="preserve"> proceeding was reopened on the basis of the stimulus returned by</w:t>
      </w:r>
      <w:r>
        <w:rPr>
          <w:rFonts w:ascii="Times New Roman" w:eastAsia="Times New Roman" w:hAnsi="Times New Roman" w:cs="Times New Roman"/>
          <w:sz w:val="24"/>
          <w:szCs w:val="24"/>
          <w:lang w:eastAsia="sk-SK"/>
        </w:rPr>
        <w:t xml:space="preserve"> a</w:t>
      </w:r>
      <w:r w:rsidRPr="00216AC2">
        <w:rPr>
          <w:rFonts w:ascii="Times New Roman" w:eastAsia="Times New Roman" w:hAnsi="Times New Roman" w:cs="Times New Roman"/>
          <w:sz w:val="24"/>
          <w:szCs w:val="24"/>
          <w:lang w:eastAsia="sk-SK"/>
        </w:rPr>
        <w:t xml:space="preserve"> prosecutor</w:t>
      </w:r>
      <w:r>
        <w:rPr>
          <w:rFonts w:ascii="Times New Roman" w:eastAsia="Times New Roman" w:hAnsi="Times New Roman" w:cs="Times New Roman"/>
          <w:sz w:val="24"/>
          <w:szCs w:val="24"/>
          <w:lang w:eastAsia="sk-SK"/>
        </w:rPr>
        <w:t>.</w:t>
      </w:r>
      <w:r w:rsidRPr="00216AC2">
        <w:rPr>
          <w:rFonts w:ascii="Times New Roman" w:eastAsia="Times New Roman" w:hAnsi="Times New Roman" w:cs="Times New Roman"/>
          <w:sz w:val="24"/>
          <w:szCs w:val="24"/>
          <w:lang w:eastAsia="sk-SK"/>
        </w:rPr>
        <w:t xml:space="preserve"> It follows that, in 2013 the examin</w:t>
      </w:r>
      <w:r>
        <w:rPr>
          <w:rFonts w:ascii="Times New Roman" w:eastAsia="Times New Roman" w:hAnsi="Times New Roman" w:cs="Times New Roman"/>
          <w:sz w:val="24"/>
          <w:szCs w:val="24"/>
          <w:lang w:eastAsia="sk-SK"/>
        </w:rPr>
        <w:t>ation</w:t>
      </w:r>
      <w:r w:rsidRPr="00216AC2">
        <w:rPr>
          <w:rFonts w:ascii="Times New Roman" w:eastAsia="Times New Roman" w:hAnsi="Times New Roman" w:cs="Times New Roman"/>
          <w:sz w:val="24"/>
          <w:szCs w:val="24"/>
          <w:lang w:eastAsia="sk-SK"/>
        </w:rPr>
        <w:t xml:space="preserve"> the origin of property in accordance with the Act </w:t>
      </w:r>
      <w:r>
        <w:rPr>
          <w:rFonts w:ascii="Times New Roman" w:eastAsia="Times New Roman" w:hAnsi="Times New Roman" w:cs="Times New Roman"/>
          <w:sz w:val="24"/>
          <w:szCs w:val="24"/>
          <w:lang w:eastAsia="sk-SK"/>
        </w:rPr>
        <w:t>No. 101/2010 Coll.</w:t>
      </w:r>
      <w:r w:rsidRPr="00216AC2">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was executed</w:t>
      </w:r>
      <w:r w:rsidRPr="00216AC2">
        <w:rPr>
          <w:rFonts w:ascii="Times New Roman" w:eastAsia="Times New Roman" w:hAnsi="Times New Roman" w:cs="Times New Roman"/>
          <w:sz w:val="24"/>
          <w:szCs w:val="24"/>
          <w:lang w:eastAsia="sk-SK"/>
        </w:rPr>
        <w:t xml:space="preserve"> in 76 cases.</w:t>
      </w:r>
      <w:r w:rsidRPr="00216AC2">
        <w:rPr>
          <w:rFonts w:ascii="Times New Roman" w:hAnsi="Times New Roman" w:cs="Times New Roman"/>
          <w:sz w:val="24"/>
          <w:szCs w:val="24"/>
        </w:rPr>
        <w:t xml:space="preserve">  </w:t>
      </w:r>
      <w:r w:rsidRPr="00216AC2">
        <w:rPr>
          <w:rFonts w:ascii="Times New Roman" w:eastAsia="Times New Roman" w:hAnsi="Times New Roman" w:cs="Times New Roman"/>
          <w:sz w:val="24"/>
          <w:szCs w:val="24"/>
          <w:lang w:eastAsia="sk-SK"/>
        </w:rPr>
        <w:t>Of these, 43 cases were closed. Five suggestions were submitted to the prosecutor, in whose jurisdiction is the competent court for proceeding (of which 2 stimulus were returned by prosecutor to supplement and remained at the stage of verification</w:t>
      </w:r>
      <w:r w:rsidRPr="00216AC2">
        <w:rPr>
          <w:rFonts w:ascii="Times New Roman" w:hAnsi="Times New Roman" w:cs="Times New Roman"/>
          <w:sz w:val="24"/>
          <w:szCs w:val="24"/>
        </w:rPr>
        <w:t xml:space="preserve">) </w:t>
      </w:r>
      <w:r w:rsidRPr="00216AC2">
        <w:rPr>
          <w:rFonts w:ascii="Times New Roman" w:eastAsia="Times New Roman" w:hAnsi="Times New Roman" w:cs="Times New Roman"/>
          <w:sz w:val="24"/>
          <w:szCs w:val="24"/>
          <w:lang w:eastAsia="sk-SK"/>
        </w:rPr>
        <w:t xml:space="preserve">in order to initiate proceedings and to declare that the </w:t>
      </w:r>
      <w:r w:rsidRPr="00216AC2">
        <w:rPr>
          <w:rFonts w:ascii="Times New Roman" w:eastAsia="Times New Roman" w:hAnsi="Times New Roman" w:cs="Times New Roman"/>
          <w:sz w:val="24"/>
          <w:szCs w:val="24"/>
          <w:lang w:eastAsia="sk-SK"/>
        </w:rPr>
        <w:lastRenderedPageBreak/>
        <w:t>property of an entity was at leas</w:t>
      </w:r>
      <w:r w:rsidRPr="00AF5D72">
        <w:rPr>
          <w:rFonts w:ascii="Times New Roman" w:eastAsia="Times New Roman" w:hAnsi="Times New Roman" w:cs="Times New Roman"/>
          <w:sz w:val="24"/>
          <w:szCs w:val="24"/>
          <w:lang w:eastAsia="sk-SK"/>
        </w:rPr>
        <w:t xml:space="preserve">t 1500 times the minimum wage higher than verifiable incomes (for 2013 this was 1500-fold by setting a minimum wage of </w:t>
      </w:r>
      <w:r w:rsidRPr="00AF5D72">
        <w:rPr>
          <w:rFonts w:ascii="Times New Roman" w:hAnsi="Times New Roman" w:cs="Times New Roman"/>
          <w:sz w:val="24"/>
          <w:szCs w:val="24"/>
        </w:rPr>
        <w:t>506 550 EUR</w:t>
      </w:r>
      <w:r w:rsidRPr="00AF5D72">
        <w:rPr>
          <w:rFonts w:ascii="Times New Roman" w:eastAsia="Times New Roman" w:hAnsi="Times New Roman" w:cs="Times New Roman"/>
          <w:sz w:val="24"/>
          <w:szCs w:val="24"/>
          <w:lang w:eastAsia="sk-SK"/>
        </w:rPr>
        <w:t>). Totally in 32 cases, the property was found out</w:t>
      </w:r>
      <w:r>
        <w:rPr>
          <w:rFonts w:ascii="Times New Roman" w:eastAsia="Times New Roman" w:hAnsi="Times New Roman" w:cs="Times New Roman"/>
          <w:sz w:val="24"/>
          <w:szCs w:val="24"/>
          <w:lang w:eastAsia="sk-SK"/>
        </w:rPr>
        <w:t xml:space="preserve"> to be</w:t>
      </w:r>
      <w:r w:rsidRPr="00AF5D72">
        <w:rPr>
          <w:rFonts w:ascii="Times New Roman" w:eastAsia="Times New Roman" w:hAnsi="Times New Roman" w:cs="Times New Roman"/>
          <w:sz w:val="24"/>
          <w:szCs w:val="24"/>
          <w:lang w:eastAsia="sk-SK"/>
        </w:rPr>
        <w:t xml:space="preserve"> lower than </w:t>
      </w:r>
      <w:r w:rsidRPr="00216AC2">
        <w:rPr>
          <w:rFonts w:ascii="Times New Roman" w:eastAsia="Times New Roman" w:hAnsi="Times New Roman" w:cs="Times New Roman"/>
          <w:sz w:val="24"/>
          <w:szCs w:val="24"/>
          <w:lang w:eastAsia="sk-SK"/>
        </w:rPr>
        <w:t xml:space="preserve">1500-fold of the minimum wage </w:t>
      </w:r>
      <w:r w:rsidRPr="00216AC2">
        <w:rPr>
          <w:rFonts w:ascii="Times New Roman" w:hAnsi="Times New Roman" w:cs="Times New Roman"/>
          <w:sz w:val="24"/>
          <w:szCs w:val="24"/>
        </w:rPr>
        <w:t xml:space="preserve">(from which in 1 case was stimulus repeatedly returned by prosecutor and during that period the examined person „divested itself of property“) </w:t>
      </w:r>
      <w:r w:rsidRPr="00216AC2">
        <w:rPr>
          <w:rFonts w:ascii="Times New Roman" w:eastAsia="Times New Roman" w:hAnsi="Times New Roman" w:cs="Times New Roman"/>
          <w:sz w:val="24"/>
          <w:szCs w:val="24"/>
          <w:lang w:eastAsia="sk-SK"/>
        </w:rPr>
        <w:t>and 8 notifications did not meet the mandatory requirements of the Act </w:t>
      </w:r>
      <w:r>
        <w:rPr>
          <w:rFonts w:ascii="Times New Roman" w:eastAsia="Times New Roman" w:hAnsi="Times New Roman" w:cs="Times New Roman"/>
          <w:sz w:val="24"/>
          <w:szCs w:val="24"/>
          <w:lang w:eastAsia="sk-SK"/>
        </w:rPr>
        <w:t>No. 101/2010 Coll.</w:t>
      </w:r>
      <w:r w:rsidRPr="00216AC2">
        <w:rPr>
          <w:rFonts w:ascii="Times New Roman" w:eastAsia="Times New Roman" w:hAnsi="Times New Roman" w:cs="Times New Roman"/>
          <w:sz w:val="24"/>
          <w:szCs w:val="24"/>
          <w:lang w:eastAsia="sk-SK"/>
        </w:rPr>
        <w:t>. Other 33 cases have remained at the stage of verification.</w:t>
      </w:r>
    </w:p>
    <w:p w:rsidR="00BA0E3A" w:rsidRPr="00AF5D72" w:rsidRDefault="00BA0E3A" w:rsidP="00BA0E3A">
      <w:pPr>
        <w:spacing w:after="0"/>
        <w:jc w:val="both"/>
        <w:rPr>
          <w:rFonts w:ascii="Times New Roman" w:hAnsi="Times New Roman" w:cs="Times New Roman"/>
          <w:sz w:val="20"/>
          <w:szCs w:val="20"/>
        </w:rPr>
      </w:pPr>
    </w:p>
    <w:p w:rsidR="00BA0E3A" w:rsidRPr="007166EE" w:rsidRDefault="00BA0E3A" w:rsidP="00BA0E3A">
      <w:pPr>
        <w:spacing w:after="0"/>
        <w:jc w:val="both"/>
        <w:rPr>
          <w:rFonts w:ascii="Times New Roman" w:hAnsi="Times New Roman" w:cs="Times New Roman"/>
          <w:sz w:val="20"/>
          <w:szCs w:val="20"/>
        </w:rPr>
      </w:pPr>
      <w:r w:rsidRPr="007166EE">
        <w:rPr>
          <w:rFonts w:ascii="Times New Roman" w:hAnsi="Times New Roman" w:cs="Times New Roman"/>
          <w:sz w:val="20"/>
          <w:szCs w:val="20"/>
        </w:rPr>
        <w:t>Graph No. 5: Graphical representation of cases on Proof of Origin of Property in 2013</w:t>
      </w:r>
    </w:p>
    <w:p w:rsidR="00BA0E3A" w:rsidRPr="007348BE" w:rsidRDefault="00BA0E3A" w:rsidP="00BA0E3A">
      <w:pPr>
        <w:spacing w:after="0"/>
        <w:jc w:val="both"/>
        <w:rPr>
          <w:rFonts w:ascii="Times New Roman" w:hAnsi="Times New Roman" w:cs="Times New Roman"/>
          <w:sz w:val="24"/>
          <w:szCs w:val="24"/>
        </w:rPr>
      </w:pPr>
      <w:r w:rsidRPr="00E14330">
        <w:rPr>
          <w:rFonts w:ascii="Times New Roman" w:hAnsi="Times New Roman" w:cs="Times New Roman"/>
          <w:noProof/>
          <w:sz w:val="20"/>
          <w:szCs w:val="20"/>
          <w:highlight w:val="cyan"/>
          <w:lang w:val="sk-SK" w:eastAsia="sk-SK"/>
        </w:rPr>
        <w:drawing>
          <wp:inline distT="0" distB="0" distL="0" distR="0" wp14:anchorId="7A7D8015" wp14:editId="3BA79A38">
            <wp:extent cx="5756910" cy="2623820"/>
            <wp:effectExtent l="0" t="0" r="0" b="0"/>
            <wp:docPr id="1" name="Graf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0E3A" w:rsidRPr="00893EEF" w:rsidRDefault="00BA0E3A" w:rsidP="00BA0E3A">
      <w:pPr>
        <w:spacing w:after="0" w:line="240" w:lineRule="auto"/>
        <w:jc w:val="both"/>
        <w:rPr>
          <w:rFonts w:ascii="Times New Roman" w:eastAsia="Times New Roman" w:hAnsi="Times New Roman" w:cs="Times New Roman"/>
          <w:sz w:val="24"/>
          <w:szCs w:val="24"/>
          <w:lang w:eastAsia="sk-SK"/>
        </w:rPr>
      </w:pPr>
    </w:p>
    <w:p w:rsidR="00BA0E3A" w:rsidRPr="00655237" w:rsidRDefault="00BA0E3A" w:rsidP="00BA0E3A">
      <w:pPr>
        <w:keepNext/>
        <w:spacing w:after="0" w:line="240" w:lineRule="auto"/>
        <w:ind w:firstLine="720"/>
        <w:outlineLvl w:val="0"/>
        <w:rPr>
          <w:rFonts w:ascii="Times New Roman" w:hAnsi="Times New Roman" w:cs="Times New Roman"/>
          <w:b/>
          <w:bCs/>
          <w:kern w:val="32"/>
          <w:sz w:val="28"/>
          <w:szCs w:val="28"/>
          <w:highlight w:val="cyan"/>
        </w:rPr>
      </w:pPr>
      <w:bookmarkStart w:id="46" w:name="_Toc382129841"/>
      <w:bookmarkStart w:id="47" w:name="_Toc382130003"/>
      <w:bookmarkStart w:id="48" w:name="_Toc382130534"/>
      <w:bookmarkStart w:id="49" w:name="_Toc382141493"/>
      <w:bookmarkStart w:id="50" w:name="_Toc382141690"/>
      <w:r w:rsidRPr="00655237">
        <w:rPr>
          <w:rFonts w:ascii="Times New Roman" w:hAnsi="Times New Roman" w:cs="Times New Roman"/>
          <w:b/>
          <w:bCs/>
          <w:kern w:val="32"/>
          <w:sz w:val="28"/>
          <w:szCs w:val="28"/>
        </w:rPr>
        <w:t>6. Analytical activity</w:t>
      </w:r>
      <w:bookmarkEnd w:id="46"/>
      <w:bookmarkEnd w:id="47"/>
      <w:bookmarkEnd w:id="48"/>
      <w:bookmarkEnd w:id="49"/>
      <w:bookmarkEnd w:id="50"/>
    </w:p>
    <w:p w:rsidR="00BA0E3A" w:rsidRPr="00655237" w:rsidRDefault="00BA0E3A" w:rsidP="00BA0E3A">
      <w:pPr>
        <w:spacing w:after="0" w:line="240" w:lineRule="auto"/>
        <w:rPr>
          <w:rFonts w:ascii="Times New Roman" w:hAnsi="Times New Roman" w:cs="Times New Roman"/>
          <w:sz w:val="24"/>
          <w:szCs w:val="24"/>
          <w:highlight w:val="cyan"/>
        </w:rPr>
      </w:pPr>
    </w:p>
    <w:p w:rsidR="00BA0E3A" w:rsidRDefault="00BA0E3A" w:rsidP="00BA0E3A">
      <w:pPr>
        <w:spacing w:after="0" w:line="240" w:lineRule="auto"/>
        <w:ind w:firstLine="708"/>
        <w:jc w:val="both"/>
        <w:rPr>
          <w:rFonts w:ascii="Times New Roman" w:hAnsi="Times New Roman" w:cs="Times New Roman"/>
          <w:sz w:val="24"/>
          <w:szCs w:val="24"/>
        </w:rPr>
      </w:pPr>
      <w:r w:rsidRPr="00161119">
        <w:rPr>
          <w:rFonts w:ascii="Times New Roman" w:hAnsi="Times New Roman" w:cs="Times New Roman"/>
          <w:sz w:val="24"/>
          <w:szCs w:val="24"/>
        </w:rPr>
        <w:t>The Analytical Department of FSJ was established on 01.04.2009 in order to ensure</w:t>
      </w:r>
      <w:r>
        <w:rPr>
          <w:rFonts w:ascii="Times New Roman" w:hAnsi="Times New Roman" w:cs="Times New Roman"/>
          <w:sz w:val="24"/>
          <w:szCs w:val="24"/>
        </w:rPr>
        <w:t xml:space="preserve"> the</w:t>
      </w:r>
      <w:r w:rsidRPr="00161119">
        <w:rPr>
          <w:rFonts w:ascii="Times New Roman" w:hAnsi="Times New Roman" w:cs="Times New Roman"/>
          <w:sz w:val="24"/>
          <w:szCs w:val="24"/>
        </w:rPr>
        <w:t xml:space="preserve"> fulfilment of the obligations of FSJ primarily defined in § 27 of </w:t>
      </w:r>
      <w:r>
        <w:rPr>
          <w:rFonts w:ascii="Times New Roman" w:hAnsi="Times New Roman" w:cs="Times New Roman"/>
          <w:sz w:val="24"/>
          <w:szCs w:val="24"/>
        </w:rPr>
        <w:t>AML/CFT Law</w:t>
      </w:r>
      <w:r w:rsidRPr="00161119">
        <w:rPr>
          <w:rFonts w:ascii="Times New Roman" w:hAnsi="Times New Roman" w:cs="Times New Roman"/>
          <w:sz w:val="24"/>
          <w:szCs w:val="24"/>
        </w:rPr>
        <w:t>, especially</w:t>
      </w:r>
      <w:r>
        <w:rPr>
          <w:rFonts w:ascii="Times New Roman" w:hAnsi="Times New Roman" w:cs="Times New Roman"/>
          <w:sz w:val="24"/>
          <w:szCs w:val="24"/>
        </w:rPr>
        <w:t xml:space="preserve"> to</w:t>
      </w:r>
      <w:r w:rsidRPr="00161119">
        <w:rPr>
          <w:rFonts w:ascii="Times New Roman" w:hAnsi="Times New Roman" w:cs="Times New Roman"/>
          <w:sz w:val="24"/>
          <w:szCs w:val="24"/>
        </w:rPr>
        <w:t xml:space="preserve"> keep summary </w:t>
      </w:r>
      <w:r>
        <w:rPr>
          <w:rFonts w:ascii="Times New Roman" w:hAnsi="Times New Roman" w:cs="Times New Roman"/>
          <w:sz w:val="24"/>
          <w:szCs w:val="24"/>
        </w:rPr>
        <w:t xml:space="preserve">of </w:t>
      </w:r>
      <w:r w:rsidRPr="00161119">
        <w:rPr>
          <w:rFonts w:ascii="Times New Roman" w:hAnsi="Times New Roman" w:cs="Times New Roman"/>
          <w:sz w:val="24"/>
          <w:szCs w:val="24"/>
        </w:rPr>
        <w:t>statistical data covering the number of unusual transaction reports received, the particular ways of processing unusual transaction reports and their number including the number of cases submitted to law enforcement authorities or tax administrators for a calendar year and the number of persons prosecuted, the number of persons convicted of legalization of proceeds from criminal activity and the value of seized property, confiscated property or forfeited property.</w:t>
      </w:r>
    </w:p>
    <w:p w:rsidR="00BA0E3A" w:rsidRPr="00161119" w:rsidRDefault="00BA0E3A" w:rsidP="00BA0E3A">
      <w:pPr>
        <w:spacing w:after="0" w:line="240" w:lineRule="auto"/>
        <w:ind w:firstLine="708"/>
        <w:jc w:val="both"/>
        <w:rPr>
          <w:rFonts w:ascii="Times New Roman" w:eastAsia="Times New Roman" w:hAnsi="Times New Roman" w:cs="Times New Roman"/>
          <w:sz w:val="20"/>
          <w:szCs w:val="20"/>
          <w:lang w:eastAsia="sk-SK"/>
        </w:rPr>
      </w:pPr>
    </w:p>
    <w:p w:rsidR="00BA0E3A" w:rsidRDefault="00BA0E3A" w:rsidP="00BA0E3A">
      <w:pPr>
        <w:spacing w:after="0" w:line="240" w:lineRule="auto"/>
        <w:ind w:firstLineChars="295" w:firstLine="708"/>
        <w:jc w:val="both"/>
        <w:rPr>
          <w:rFonts w:ascii="Times New Roman" w:hAnsi="Times New Roman" w:cs="Times New Roman"/>
          <w:sz w:val="24"/>
          <w:szCs w:val="24"/>
        </w:rPr>
      </w:pPr>
      <w:r w:rsidRPr="00655237">
        <w:rPr>
          <w:rFonts w:ascii="Times New Roman" w:hAnsi="Times New Roman" w:cs="Times New Roman"/>
          <w:sz w:val="24"/>
          <w:szCs w:val="24"/>
        </w:rPr>
        <w:t xml:space="preserve">The Analytical Department within the needs of obliged entities, which report the unusual transactions to </w:t>
      </w:r>
      <w:r w:rsidR="00277E73">
        <w:rPr>
          <w:rFonts w:ascii="Times New Roman" w:hAnsi="Times New Roman" w:cs="Times New Roman"/>
          <w:sz w:val="24"/>
          <w:szCs w:val="24"/>
        </w:rPr>
        <w:t>FSJ</w:t>
      </w:r>
      <w:r w:rsidRPr="00655237">
        <w:rPr>
          <w:rFonts w:ascii="Times New Roman" w:hAnsi="Times New Roman" w:cs="Times New Roman"/>
          <w:sz w:val="24"/>
          <w:szCs w:val="24"/>
        </w:rPr>
        <w:t>, is responsible for submitting statistical information on the effectiveness of unusual transaction reports so that the obliged entities have a particular view of their individual reports and their subsequent utilization.</w:t>
      </w:r>
    </w:p>
    <w:p w:rsidR="00BA0E3A" w:rsidRPr="00655237" w:rsidRDefault="00BA0E3A" w:rsidP="00BA0E3A">
      <w:pPr>
        <w:spacing w:after="0" w:line="240" w:lineRule="auto"/>
        <w:ind w:firstLineChars="295" w:firstLine="708"/>
        <w:jc w:val="both"/>
        <w:rPr>
          <w:rFonts w:ascii="Times New Roman" w:hAnsi="Times New Roman" w:cs="Times New Roman"/>
          <w:sz w:val="24"/>
          <w:szCs w:val="24"/>
        </w:rPr>
      </w:pPr>
    </w:p>
    <w:p w:rsidR="00BA0E3A" w:rsidRPr="00D84F19" w:rsidRDefault="00BA0E3A" w:rsidP="00BA0E3A">
      <w:pPr>
        <w:spacing w:after="120" w:line="240" w:lineRule="auto"/>
        <w:ind w:firstLine="708"/>
        <w:jc w:val="both"/>
        <w:rPr>
          <w:rFonts w:ascii="Times New Roman" w:eastAsia="Times New Roman" w:hAnsi="Times New Roman" w:cs="Times New Roman"/>
          <w:sz w:val="24"/>
          <w:szCs w:val="24"/>
          <w:lang w:eastAsia="sk-SK"/>
        </w:rPr>
      </w:pPr>
      <w:r w:rsidRPr="00D84F19">
        <w:rPr>
          <w:rFonts w:ascii="Times New Roman" w:eastAsia="Times New Roman" w:hAnsi="Times New Roman" w:cs="Times New Roman"/>
          <w:sz w:val="24"/>
          <w:szCs w:val="24"/>
          <w:lang w:eastAsia="sk-SK"/>
        </w:rPr>
        <w:t xml:space="preserve">To the additional tasks of the Analytical Department belongs the proposing of modifications and changes of the relevant legislation and related internal management acts, managing the registration, monitoring, implementation and evaluation of tasks resulting for FSJ Slovakia from resolutions of the Government of the Slovak Republic, the annual plan of the Presidium of Police Force, as well as from other documents. The Analytical Department in cooperation with other departments of FSJ disseminates also information on the forms and methods of legalization of proceeds </w:t>
      </w:r>
      <w:r>
        <w:rPr>
          <w:rFonts w:ascii="Times New Roman" w:eastAsia="Times New Roman" w:hAnsi="Times New Roman" w:cs="Times New Roman"/>
          <w:sz w:val="24"/>
          <w:szCs w:val="24"/>
          <w:lang w:eastAsia="sk-SK"/>
        </w:rPr>
        <w:t>from</w:t>
      </w:r>
      <w:r w:rsidRPr="00D84F19">
        <w:rPr>
          <w:rFonts w:ascii="Times New Roman" w:eastAsia="Times New Roman" w:hAnsi="Times New Roman" w:cs="Times New Roman"/>
          <w:sz w:val="24"/>
          <w:szCs w:val="24"/>
          <w:lang w:eastAsia="sk-SK"/>
        </w:rPr>
        <w:t xml:space="preserve"> criminal activity and terrorist financing and on the methods of recognition of unusual transactions.</w:t>
      </w:r>
    </w:p>
    <w:p w:rsidR="00BA0E3A" w:rsidRPr="00953921" w:rsidRDefault="00BA0E3A" w:rsidP="00BA0E3A">
      <w:pPr>
        <w:keepNext/>
        <w:spacing w:before="240" w:after="60"/>
        <w:outlineLvl w:val="1"/>
        <w:rPr>
          <w:rFonts w:ascii="Times New Roman" w:hAnsi="Times New Roman" w:cs="Times New Roman"/>
          <w:b/>
          <w:bCs/>
          <w:sz w:val="24"/>
          <w:szCs w:val="24"/>
        </w:rPr>
      </w:pPr>
      <w:bookmarkStart w:id="51" w:name="_Toc382129842"/>
      <w:bookmarkStart w:id="52" w:name="_Toc382130004"/>
      <w:bookmarkStart w:id="53" w:name="_Toc382130535"/>
      <w:bookmarkStart w:id="54" w:name="_Toc382141494"/>
      <w:bookmarkStart w:id="55" w:name="_Toc382141691"/>
      <w:r w:rsidRPr="00953921">
        <w:rPr>
          <w:rFonts w:ascii="Times New Roman" w:hAnsi="Times New Roman" w:cs="Times New Roman"/>
          <w:b/>
          <w:bCs/>
          <w:sz w:val="24"/>
          <w:szCs w:val="24"/>
        </w:rPr>
        <w:lastRenderedPageBreak/>
        <w:t>6.1 Currency Transportation (Cross-border reporting)</w:t>
      </w:r>
      <w:bookmarkEnd w:id="51"/>
      <w:bookmarkEnd w:id="52"/>
      <w:bookmarkEnd w:id="53"/>
      <w:bookmarkEnd w:id="54"/>
      <w:bookmarkEnd w:id="55"/>
    </w:p>
    <w:p w:rsidR="00BA0E3A" w:rsidRDefault="00BA0E3A" w:rsidP="00BA0E3A">
      <w:pPr>
        <w:spacing w:after="0" w:line="240" w:lineRule="auto"/>
        <w:ind w:firstLine="709"/>
        <w:jc w:val="both"/>
        <w:rPr>
          <w:rFonts w:ascii="Times New Roman" w:eastAsia="Batang" w:hAnsi="Times New Roman" w:cs="Times New Roman"/>
          <w:sz w:val="24"/>
          <w:szCs w:val="24"/>
          <w:highlight w:val="cyan"/>
          <w:lang w:eastAsia="sk-SK"/>
        </w:rPr>
      </w:pPr>
      <w:r w:rsidRPr="002C5514">
        <w:rPr>
          <w:rFonts w:ascii="Times New Roman" w:eastAsia="Batang" w:hAnsi="Times New Roman" w:cs="Times New Roman"/>
          <w:sz w:val="24"/>
          <w:szCs w:val="24"/>
          <w:lang w:eastAsia="sk-SK"/>
        </w:rPr>
        <w:t xml:space="preserve">The control system of cross-border transportation </w:t>
      </w:r>
      <w:r>
        <w:rPr>
          <w:rFonts w:ascii="Times New Roman" w:eastAsia="Batang" w:hAnsi="Times New Roman" w:cs="Times New Roman"/>
          <w:sz w:val="24"/>
          <w:szCs w:val="24"/>
          <w:lang w:eastAsia="sk-SK"/>
        </w:rPr>
        <w:t xml:space="preserve">of currency </w:t>
      </w:r>
      <w:r w:rsidRPr="002C5514">
        <w:rPr>
          <w:rFonts w:ascii="Times New Roman" w:eastAsia="Batang" w:hAnsi="Times New Roman" w:cs="Times New Roman"/>
          <w:sz w:val="24"/>
          <w:szCs w:val="24"/>
          <w:lang w:eastAsia="sk-SK"/>
        </w:rPr>
        <w:t>to</w:t>
      </w:r>
      <w:r>
        <w:rPr>
          <w:rFonts w:ascii="Times New Roman" w:eastAsia="Batang" w:hAnsi="Times New Roman" w:cs="Times New Roman"/>
          <w:sz w:val="24"/>
          <w:szCs w:val="24"/>
          <w:lang w:eastAsia="sk-SK"/>
        </w:rPr>
        <w:t xml:space="preserve"> and from countrie</w:t>
      </w:r>
      <w:r w:rsidRPr="002C5514">
        <w:rPr>
          <w:rFonts w:ascii="Times New Roman" w:eastAsia="Batang" w:hAnsi="Times New Roman" w:cs="Times New Roman"/>
          <w:sz w:val="24"/>
          <w:szCs w:val="24"/>
          <w:lang w:eastAsia="sk-SK"/>
        </w:rPr>
        <w:t>s which are not members of the European Union is governed by regulation (EC) No 1889/2005 of the European Parliament and of the Council on controls of cash entering or leaving the Community, by the Act No</w:t>
      </w:r>
      <w:r w:rsidR="0007463C">
        <w:rPr>
          <w:rFonts w:ascii="Times New Roman" w:eastAsia="Batang" w:hAnsi="Times New Roman" w:cs="Times New Roman"/>
          <w:sz w:val="24"/>
          <w:szCs w:val="24"/>
          <w:lang w:eastAsia="sk-SK"/>
        </w:rPr>
        <w:t>.</w:t>
      </w:r>
      <w:r w:rsidRPr="002C5514">
        <w:rPr>
          <w:rFonts w:ascii="Times New Roman" w:eastAsia="Batang" w:hAnsi="Times New Roman" w:cs="Times New Roman"/>
          <w:sz w:val="24"/>
          <w:szCs w:val="24"/>
          <w:lang w:eastAsia="sk-SK"/>
        </w:rPr>
        <w:t xml:space="preserve"> 199/2004 Coll. </w:t>
      </w:r>
      <w:r>
        <w:rPr>
          <w:rFonts w:ascii="Times New Roman" w:eastAsia="Batang" w:hAnsi="Times New Roman" w:cs="Times New Roman"/>
          <w:sz w:val="24"/>
          <w:szCs w:val="24"/>
          <w:lang w:eastAsia="sk-SK"/>
        </w:rPr>
        <w:t>on customs law</w:t>
      </w:r>
      <w:r w:rsidRPr="00D04D02">
        <w:rPr>
          <w:rFonts w:ascii="Times New Roman" w:eastAsia="Times New Roman" w:hAnsi="Times New Roman" w:cs="Times New Roman"/>
          <w:sz w:val="24"/>
          <w:szCs w:val="24"/>
          <w:lang w:eastAsia="sk-SK"/>
        </w:rPr>
        <w:t xml:space="preserve"> </w:t>
      </w:r>
      <w:r w:rsidRPr="00130E58">
        <w:rPr>
          <w:rFonts w:ascii="Times New Roman" w:eastAsia="Times New Roman" w:hAnsi="Times New Roman" w:cs="Times New Roman"/>
          <w:sz w:val="24"/>
          <w:szCs w:val="24"/>
          <w:lang w:eastAsia="sk-SK"/>
        </w:rPr>
        <w:t>and on</w:t>
      </w:r>
      <w:r>
        <w:rPr>
          <w:rFonts w:ascii="Times New Roman" w:eastAsia="Times New Roman" w:hAnsi="Times New Roman" w:cs="Times New Roman"/>
          <w:sz w:val="24"/>
          <w:szCs w:val="24"/>
          <w:lang w:eastAsia="sk-SK"/>
        </w:rPr>
        <w:t xml:space="preserve"> amendment and supplement to certain a</w:t>
      </w:r>
      <w:r w:rsidRPr="00130E58">
        <w:rPr>
          <w:rFonts w:ascii="Times New Roman" w:eastAsia="Times New Roman" w:hAnsi="Times New Roman" w:cs="Times New Roman"/>
          <w:sz w:val="24"/>
          <w:szCs w:val="24"/>
          <w:lang w:eastAsia="sk-SK"/>
        </w:rPr>
        <w:t>cts as amended</w:t>
      </w:r>
      <w:r>
        <w:rPr>
          <w:rFonts w:ascii="Times New Roman" w:eastAsia="Batang" w:hAnsi="Times New Roman" w:cs="Times New Roman"/>
          <w:sz w:val="24"/>
          <w:szCs w:val="24"/>
          <w:lang w:eastAsia="sk-SK"/>
        </w:rPr>
        <w:t xml:space="preserve"> </w:t>
      </w:r>
      <w:r w:rsidRPr="002C5514">
        <w:rPr>
          <w:rFonts w:ascii="Times New Roman" w:eastAsia="Times New Roman" w:hAnsi="Times New Roman" w:cs="Times New Roman"/>
          <w:sz w:val="24"/>
          <w:szCs w:val="24"/>
          <w:lang w:eastAsia="sk-SK"/>
        </w:rPr>
        <w:t>(</w:t>
      </w:r>
      <w:r w:rsidRPr="002C5514">
        <w:rPr>
          <w:rFonts w:ascii="Times New Roman" w:eastAsia="Times New Roman" w:hAnsi="Times New Roman" w:cs="Times New Roman"/>
          <w:iCs/>
          <w:sz w:val="24"/>
          <w:szCs w:val="24"/>
          <w:lang w:eastAsia="sk-SK"/>
        </w:rPr>
        <w:t>hereinafter referred to as</w:t>
      </w:r>
      <w:r w:rsidRPr="002C5514">
        <w:rPr>
          <w:rFonts w:ascii="Times New Roman" w:eastAsia="Times New Roman" w:hAnsi="Times New Roman" w:cs="Times New Roman"/>
          <w:i/>
          <w:sz w:val="24"/>
          <w:szCs w:val="24"/>
          <w:lang w:eastAsia="sk-SK"/>
        </w:rPr>
        <w:t xml:space="preserve"> </w:t>
      </w:r>
      <w:r w:rsidRPr="002C5514">
        <w:rPr>
          <w:rFonts w:ascii="Times New Roman" w:eastAsia="Times New Roman" w:hAnsi="Times New Roman" w:cs="Times New Roman"/>
          <w:sz w:val="24"/>
          <w:szCs w:val="24"/>
          <w:lang w:eastAsia="sk-SK"/>
        </w:rPr>
        <w:t xml:space="preserve">„Customs Act”) and by the </w:t>
      </w:r>
      <w:r>
        <w:rPr>
          <w:rFonts w:ascii="Times New Roman" w:eastAsia="Times New Roman" w:hAnsi="Times New Roman" w:cs="Times New Roman"/>
          <w:sz w:val="24"/>
          <w:szCs w:val="24"/>
          <w:lang w:eastAsia="sk-SK"/>
        </w:rPr>
        <w:t>of Act No</w:t>
      </w:r>
      <w:r w:rsidR="0007463C">
        <w:rPr>
          <w:rFonts w:ascii="Times New Roman" w:eastAsia="Times New Roman" w:hAnsi="Times New Roman" w:cs="Times New Roman"/>
          <w:sz w:val="24"/>
          <w:szCs w:val="24"/>
          <w:lang w:eastAsia="sk-SK"/>
        </w:rPr>
        <w:t>.</w:t>
      </w:r>
      <w:r w:rsidRPr="00130E58">
        <w:rPr>
          <w:rFonts w:ascii="Times New Roman" w:eastAsia="Times New Roman" w:hAnsi="Times New Roman" w:cs="Times New Roman"/>
          <w:sz w:val="24"/>
          <w:szCs w:val="24"/>
          <w:lang w:eastAsia="sk-SK"/>
        </w:rPr>
        <w:t xml:space="preserve"> 652/2004 Coll. </w:t>
      </w:r>
      <w:r>
        <w:rPr>
          <w:rFonts w:ascii="Times New Roman" w:eastAsia="Times New Roman" w:hAnsi="Times New Roman" w:cs="Times New Roman"/>
          <w:sz w:val="24"/>
          <w:szCs w:val="24"/>
          <w:lang w:eastAsia="sk-SK"/>
        </w:rPr>
        <w:t>o</w:t>
      </w:r>
      <w:r w:rsidRPr="00130E58">
        <w:rPr>
          <w:rFonts w:ascii="Times New Roman" w:eastAsia="Times New Roman" w:hAnsi="Times New Roman" w:cs="Times New Roman"/>
          <w:sz w:val="24"/>
          <w:szCs w:val="24"/>
          <w:lang w:eastAsia="sk-SK"/>
        </w:rPr>
        <w:t>n</w:t>
      </w:r>
      <w:r>
        <w:rPr>
          <w:rFonts w:ascii="Times New Roman" w:eastAsia="Times New Roman" w:hAnsi="Times New Roman" w:cs="Times New Roman"/>
          <w:sz w:val="24"/>
          <w:szCs w:val="24"/>
          <w:lang w:eastAsia="sk-SK"/>
        </w:rPr>
        <w:t xml:space="preserve"> the authorities of the state customs a</w:t>
      </w:r>
      <w:r w:rsidRPr="00130E58">
        <w:rPr>
          <w:rFonts w:ascii="Times New Roman" w:eastAsia="Times New Roman" w:hAnsi="Times New Roman" w:cs="Times New Roman"/>
          <w:sz w:val="24"/>
          <w:szCs w:val="24"/>
          <w:lang w:eastAsia="sk-SK"/>
        </w:rPr>
        <w:t>dministration and on</w:t>
      </w:r>
      <w:r>
        <w:rPr>
          <w:rFonts w:ascii="Times New Roman" w:eastAsia="Times New Roman" w:hAnsi="Times New Roman" w:cs="Times New Roman"/>
          <w:sz w:val="24"/>
          <w:szCs w:val="24"/>
          <w:lang w:eastAsia="sk-SK"/>
        </w:rPr>
        <w:t xml:space="preserve"> amendment and supplement to certain a</w:t>
      </w:r>
      <w:r w:rsidRPr="00130E58">
        <w:rPr>
          <w:rFonts w:ascii="Times New Roman" w:eastAsia="Times New Roman" w:hAnsi="Times New Roman" w:cs="Times New Roman"/>
          <w:sz w:val="24"/>
          <w:szCs w:val="24"/>
          <w:lang w:eastAsia="sk-SK"/>
        </w:rPr>
        <w:t>cts as amended</w:t>
      </w:r>
      <w:r>
        <w:rPr>
          <w:rFonts w:ascii="Times New Roman" w:eastAsia="Times New Roman" w:hAnsi="Times New Roman" w:cs="Times New Roman"/>
          <w:sz w:val="24"/>
          <w:szCs w:val="24"/>
          <w:lang w:eastAsia="sk-SK"/>
        </w:rPr>
        <w:t>.</w:t>
      </w:r>
    </w:p>
    <w:p w:rsidR="00BA0E3A" w:rsidRDefault="00BA0E3A" w:rsidP="00BA0E3A">
      <w:pPr>
        <w:spacing w:before="100" w:beforeAutospacing="1" w:after="100" w:afterAutospacing="1" w:line="240" w:lineRule="auto"/>
        <w:ind w:firstLine="709"/>
        <w:jc w:val="both"/>
        <w:rPr>
          <w:rFonts w:ascii="Times New Roman" w:eastAsia="Batang" w:hAnsi="Times New Roman" w:cs="Times New Roman"/>
          <w:sz w:val="24"/>
          <w:szCs w:val="24"/>
          <w:highlight w:val="cyan"/>
          <w:lang w:eastAsia="sk-SK"/>
        </w:rPr>
      </w:pPr>
      <w:r w:rsidRPr="008F046D">
        <w:rPr>
          <w:rFonts w:ascii="Times New Roman" w:eastAsia="Batang" w:hAnsi="Times New Roman" w:cs="Times New Roman"/>
          <w:sz w:val="24"/>
          <w:szCs w:val="24"/>
          <w:lang w:eastAsia="sk-SK"/>
        </w:rPr>
        <w:t xml:space="preserve">In 2013 FSJ </w:t>
      </w:r>
      <w:r>
        <w:rPr>
          <w:rFonts w:ascii="Times New Roman" w:eastAsia="Batang" w:hAnsi="Times New Roman" w:cs="Times New Roman"/>
          <w:sz w:val="24"/>
          <w:szCs w:val="24"/>
          <w:lang w:eastAsia="sk-SK"/>
        </w:rPr>
        <w:t>received</w:t>
      </w:r>
      <w:r w:rsidRPr="008F046D">
        <w:rPr>
          <w:rFonts w:ascii="Times New Roman" w:eastAsia="Batang" w:hAnsi="Times New Roman" w:cs="Times New Roman"/>
          <w:sz w:val="24"/>
          <w:szCs w:val="24"/>
          <w:lang w:eastAsia="sk-SK"/>
        </w:rPr>
        <w:t xml:space="preserve">, pursuant to </w:t>
      </w:r>
      <w:r>
        <w:rPr>
          <w:rFonts w:ascii="Times New Roman" w:eastAsia="Batang" w:hAnsi="Times New Roman" w:cs="Times New Roman"/>
          <w:sz w:val="24"/>
          <w:szCs w:val="24"/>
          <w:lang w:eastAsia="sk-SK"/>
        </w:rPr>
        <w:t>§</w:t>
      </w:r>
      <w:r w:rsidRPr="008F046D">
        <w:rPr>
          <w:rFonts w:ascii="Times New Roman" w:eastAsia="Batang" w:hAnsi="Times New Roman" w:cs="Times New Roman"/>
          <w:sz w:val="24"/>
          <w:szCs w:val="24"/>
          <w:lang w:eastAsia="sk-SK"/>
        </w:rPr>
        <w:t xml:space="preserve"> 4 (4) of the Customs Act, 58 reports </w:t>
      </w:r>
      <w:r w:rsidRPr="008F046D">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n</w:t>
      </w:r>
      <w:r w:rsidRPr="008F046D">
        <w:rPr>
          <w:rFonts w:ascii="Times New Roman" w:eastAsia="Times New Roman" w:hAnsi="Times New Roman" w:cs="Times New Roman"/>
          <w:sz w:val="24"/>
          <w:szCs w:val="24"/>
          <w:lang w:eastAsia="sk-SK"/>
        </w:rPr>
        <w:t xml:space="preserve"> transportation of currency in a total amount of </w:t>
      </w:r>
      <w:r w:rsidRPr="008F046D">
        <w:rPr>
          <w:rFonts w:ascii="Times New Roman" w:eastAsia="Batang" w:hAnsi="Times New Roman" w:cs="Times New Roman"/>
          <w:bCs/>
          <w:sz w:val="24"/>
          <w:szCs w:val="24"/>
          <w:lang w:eastAsia="sk-SK"/>
        </w:rPr>
        <w:t>1.942.132,56 EUR</w:t>
      </w:r>
      <w:r w:rsidRPr="00052052">
        <w:rPr>
          <w:rFonts w:ascii="Times New Roman" w:eastAsia="Times New Roman" w:hAnsi="Times New Roman" w:cs="Times New Roman"/>
          <w:sz w:val="24"/>
          <w:szCs w:val="24"/>
          <w:lang w:eastAsia="sk-SK"/>
        </w:rPr>
        <w:t xml:space="preserve"> </w:t>
      </w:r>
      <w:r w:rsidRPr="008F046D">
        <w:rPr>
          <w:rFonts w:ascii="Times New Roman" w:eastAsia="Times New Roman" w:hAnsi="Times New Roman" w:cs="Times New Roman"/>
          <w:sz w:val="24"/>
          <w:szCs w:val="24"/>
          <w:lang w:eastAsia="sk-SK"/>
        </w:rPr>
        <w:t>from the Customs Directorate of the Slovak Republic</w:t>
      </w:r>
      <w:r w:rsidRPr="008F046D">
        <w:rPr>
          <w:rFonts w:ascii="Times New Roman" w:eastAsia="Batang" w:hAnsi="Times New Roman" w:cs="Times New Roman"/>
          <w:sz w:val="24"/>
          <w:szCs w:val="24"/>
          <w:lang w:eastAsia="sk-SK"/>
        </w:rPr>
        <w:t>.</w:t>
      </w:r>
      <w:r>
        <w:rPr>
          <w:rFonts w:ascii="Times New Roman" w:eastAsia="Batang" w:hAnsi="Times New Roman" w:cs="Times New Roman"/>
          <w:sz w:val="24"/>
          <w:szCs w:val="24"/>
          <w:lang w:eastAsia="sk-SK"/>
        </w:rPr>
        <w:t xml:space="preserve"> The reports on transportation of currency, which were submitted by obliged entities on the form, were received from the road border crossing-point Vyšné Nemecké (in 1 case from the road border crossing-point Ubľa) – in all cases, it was the entry of currency in cash into the territory of the Slovak Republic from a third state, mainly from Ukraine, in 1 case from Kazakhstan and from the Russian Federation. </w:t>
      </w:r>
      <w:r w:rsidRPr="001762E7">
        <w:rPr>
          <w:rFonts w:ascii="Times New Roman" w:eastAsia="Batang" w:hAnsi="Times New Roman" w:cs="Times New Roman"/>
          <w:sz w:val="24"/>
          <w:szCs w:val="24"/>
          <w:lang w:eastAsia="sk-SK"/>
        </w:rPr>
        <w:t>FSJ received the reports on transportation of currency</w:t>
      </w:r>
      <w:r>
        <w:rPr>
          <w:rFonts w:ascii="Times New Roman" w:eastAsia="Batang" w:hAnsi="Times New Roman" w:cs="Times New Roman"/>
          <w:sz w:val="24"/>
          <w:szCs w:val="24"/>
          <w:lang w:eastAsia="sk-SK"/>
        </w:rPr>
        <w:t>,</w:t>
      </w:r>
      <w:r w:rsidRPr="001762E7">
        <w:rPr>
          <w:rFonts w:ascii="Times New Roman" w:eastAsia="Batang" w:hAnsi="Times New Roman" w:cs="Times New Roman"/>
          <w:sz w:val="24"/>
          <w:szCs w:val="24"/>
          <w:lang w:eastAsia="sk-SK"/>
        </w:rPr>
        <w:t xml:space="preserve"> entering or leaving the territory of the Slovak Republic </w:t>
      </w:r>
      <w:r>
        <w:rPr>
          <w:rFonts w:ascii="Times New Roman" w:eastAsia="Batang" w:hAnsi="Times New Roman" w:cs="Times New Roman"/>
          <w:sz w:val="24"/>
          <w:szCs w:val="24"/>
          <w:lang w:eastAsia="sk-SK"/>
        </w:rPr>
        <w:t xml:space="preserve">through </w:t>
      </w:r>
      <w:r w:rsidRPr="001762E7">
        <w:rPr>
          <w:rFonts w:ascii="Times New Roman" w:eastAsia="Batang" w:hAnsi="Times New Roman" w:cs="Times New Roman"/>
          <w:sz w:val="24"/>
          <w:szCs w:val="24"/>
          <w:lang w:eastAsia="sk-SK"/>
        </w:rPr>
        <w:t xml:space="preserve">air transport, </w:t>
      </w:r>
      <w:r>
        <w:rPr>
          <w:rFonts w:ascii="Times New Roman" w:eastAsia="Batang" w:hAnsi="Times New Roman" w:cs="Times New Roman"/>
          <w:sz w:val="24"/>
          <w:szCs w:val="24"/>
          <w:lang w:eastAsia="sk-SK"/>
        </w:rPr>
        <w:t>altogether</w:t>
      </w:r>
      <w:r w:rsidRPr="001762E7">
        <w:rPr>
          <w:rFonts w:ascii="Times New Roman" w:eastAsia="Batang" w:hAnsi="Times New Roman" w:cs="Times New Roman"/>
          <w:sz w:val="24"/>
          <w:szCs w:val="24"/>
          <w:lang w:eastAsia="sk-SK"/>
        </w:rPr>
        <w:t xml:space="preserve"> 13 reports from the M. R.</w:t>
      </w:r>
      <w:r w:rsidR="00522377">
        <w:rPr>
          <w:rFonts w:ascii="Times New Roman" w:eastAsia="Batang" w:hAnsi="Times New Roman" w:cs="Times New Roman"/>
          <w:sz w:val="24"/>
          <w:szCs w:val="24"/>
          <w:lang w:eastAsia="sk-SK"/>
        </w:rPr>
        <w:t xml:space="preserve"> </w:t>
      </w:r>
      <w:r w:rsidRPr="001762E7">
        <w:rPr>
          <w:rFonts w:ascii="Times New Roman" w:eastAsia="Times New Roman" w:hAnsi="Times New Roman" w:cs="Times New Roman"/>
          <w:iCs/>
          <w:sz w:val="24"/>
          <w:szCs w:val="24"/>
          <w:lang w:eastAsia="sk-SK"/>
        </w:rPr>
        <w:t>Štefánik Airport</w:t>
      </w:r>
      <w:r w:rsidRPr="001762E7">
        <w:rPr>
          <w:rFonts w:ascii="Times New Roman" w:eastAsia="Times New Roman" w:hAnsi="Times New Roman" w:cs="Times New Roman"/>
          <w:sz w:val="24"/>
          <w:szCs w:val="24"/>
          <w:lang w:eastAsia="sk-SK"/>
        </w:rPr>
        <w:t xml:space="preserve"> in Bratislava and 1 report from the Airport in Zvolen and from the Airport in Košice.</w:t>
      </w:r>
      <w:r w:rsidRPr="001762E7">
        <w:rPr>
          <w:rFonts w:ascii="Times New Roman" w:eastAsia="Batang" w:hAnsi="Times New Roman" w:cs="Times New Roman"/>
          <w:sz w:val="24"/>
          <w:szCs w:val="24"/>
          <w:lang w:eastAsia="sk-SK"/>
        </w:rPr>
        <w:t xml:space="preserve"> </w:t>
      </w:r>
      <w:r>
        <w:rPr>
          <w:rFonts w:ascii="Times New Roman" w:eastAsia="Batang" w:hAnsi="Times New Roman" w:cs="Times New Roman"/>
          <w:sz w:val="24"/>
          <w:szCs w:val="24"/>
          <w:lang w:eastAsia="sk-SK"/>
        </w:rPr>
        <w:t xml:space="preserve">Whereby in 11 cases the import of currency in cash was recorded (7x Ukrainian citizens and 4x Russian Federation citizens) and in 4 cases Slovak citizens exported the currency in cash from the territory of the Slovak Republic (it was always to supplement the permanent advances for ISAF-Afghanistan and SLOVCON-Cyprus). </w:t>
      </w:r>
    </w:p>
    <w:p w:rsidR="00BA0E3A" w:rsidRPr="00655237" w:rsidRDefault="00BA0E3A" w:rsidP="00BA0E3A">
      <w:pPr>
        <w:spacing w:after="0"/>
        <w:jc w:val="both"/>
        <w:rPr>
          <w:rFonts w:ascii="Times New Roman" w:hAnsi="Times New Roman" w:cs="Times New Roman"/>
          <w:sz w:val="20"/>
          <w:szCs w:val="20"/>
        </w:rPr>
      </w:pPr>
      <w:r w:rsidRPr="00655237">
        <w:rPr>
          <w:rFonts w:ascii="Times New Roman" w:eastAsia="Batang" w:hAnsi="Times New Roman" w:cs="Times New Roman"/>
          <w:sz w:val="20"/>
          <w:szCs w:val="20"/>
          <w:lang w:eastAsia="sk-SK"/>
        </w:rPr>
        <w:t xml:space="preserve">Chart No. 13: </w:t>
      </w:r>
      <w:r>
        <w:rPr>
          <w:rFonts w:ascii="Times New Roman" w:eastAsia="Batang" w:hAnsi="Times New Roman" w:cs="Times New Roman"/>
          <w:sz w:val="20"/>
          <w:szCs w:val="20"/>
          <w:lang w:eastAsia="sk-SK"/>
        </w:rPr>
        <w:t xml:space="preserve">Comparison of the total numbers of currency transportation reports received by FSJ and comparison of volumes of the currency transported from/to EU in </w:t>
      </w:r>
      <w:r w:rsidRPr="00655237">
        <w:rPr>
          <w:rFonts w:ascii="Times New Roman" w:hAnsi="Times New Roman" w:cs="Times New Roman"/>
          <w:sz w:val="20"/>
          <w:szCs w:val="20"/>
        </w:rPr>
        <w:t>2009 – 2013</w:t>
      </w:r>
    </w:p>
    <w:p w:rsidR="00BA0E3A" w:rsidRPr="00655237" w:rsidRDefault="00BA0E3A" w:rsidP="00BA0E3A">
      <w:pPr>
        <w:spacing w:after="0"/>
        <w:jc w:val="both"/>
        <w:rPr>
          <w:rFonts w:ascii="Times New Roman" w:eastAsia="Batang" w:hAnsi="Times New Roman"/>
          <w:sz w:val="24"/>
          <w:szCs w:val="24"/>
          <w:highlight w:val="cyan"/>
          <w:lang w:eastAsia="sk-S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2"/>
        <w:gridCol w:w="3071"/>
        <w:gridCol w:w="3071"/>
      </w:tblGrid>
      <w:tr w:rsidR="00BA0E3A" w:rsidRPr="00655237" w:rsidTr="00BA0E3A">
        <w:trPr>
          <w:trHeight w:val="687"/>
        </w:trPr>
        <w:tc>
          <w:tcPr>
            <w:tcW w:w="2962" w:type="dxa"/>
            <w:vAlign w:val="center"/>
          </w:tcPr>
          <w:p w:rsidR="00BA0E3A" w:rsidRPr="00655237" w:rsidRDefault="00BA0E3A" w:rsidP="00BA0E3A">
            <w:pPr>
              <w:spacing w:after="0"/>
              <w:jc w:val="center"/>
              <w:rPr>
                <w:rFonts w:ascii="Times New Roman" w:hAnsi="Times New Roman" w:cs="Times New Roman"/>
                <w:b/>
                <w:bCs/>
                <w:sz w:val="18"/>
                <w:szCs w:val="18"/>
              </w:rPr>
            </w:pPr>
            <w:r w:rsidRPr="00655237">
              <w:rPr>
                <w:rFonts w:ascii="Times New Roman" w:hAnsi="Times New Roman" w:cs="Times New Roman"/>
                <w:b/>
                <w:bCs/>
                <w:sz w:val="18"/>
                <w:szCs w:val="18"/>
              </w:rPr>
              <w:t>YEAR</w:t>
            </w:r>
          </w:p>
        </w:tc>
        <w:tc>
          <w:tcPr>
            <w:tcW w:w="3071" w:type="dxa"/>
            <w:vAlign w:val="center"/>
          </w:tcPr>
          <w:p w:rsidR="00BA0E3A" w:rsidRPr="00655237" w:rsidRDefault="00BA0E3A" w:rsidP="00BA0E3A">
            <w:pPr>
              <w:spacing w:after="0"/>
              <w:jc w:val="center"/>
              <w:rPr>
                <w:rFonts w:ascii="Times New Roman" w:hAnsi="Times New Roman" w:cs="Times New Roman"/>
                <w:b/>
                <w:bCs/>
                <w:sz w:val="18"/>
                <w:szCs w:val="18"/>
              </w:rPr>
            </w:pPr>
            <w:r w:rsidRPr="00655237">
              <w:rPr>
                <w:rFonts w:ascii="Times New Roman" w:hAnsi="Times New Roman" w:cs="Times New Roman"/>
                <w:b/>
                <w:bCs/>
                <w:sz w:val="18"/>
                <w:szCs w:val="18"/>
              </w:rPr>
              <w:t>NUMBER OF THE RECEIVED REPORTS</w:t>
            </w:r>
          </w:p>
        </w:tc>
        <w:tc>
          <w:tcPr>
            <w:tcW w:w="3071" w:type="dxa"/>
            <w:vAlign w:val="center"/>
          </w:tcPr>
          <w:p w:rsidR="00BA0E3A" w:rsidRPr="00655237" w:rsidRDefault="00BA0E3A" w:rsidP="00BA0E3A">
            <w:pPr>
              <w:spacing w:after="0"/>
              <w:jc w:val="center"/>
              <w:rPr>
                <w:rFonts w:ascii="Times New Roman" w:hAnsi="Times New Roman" w:cs="Times New Roman"/>
                <w:b/>
                <w:bCs/>
                <w:sz w:val="18"/>
                <w:szCs w:val="18"/>
              </w:rPr>
            </w:pPr>
          </w:p>
          <w:p w:rsidR="00BA0E3A" w:rsidRDefault="00BA0E3A" w:rsidP="00BA0E3A">
            <w:pPr>
              <w:spacing w:after="0"/>
              <w:jc w:val="center"/>
              <w:rPr>
                <w:rFonts w:ascii="Times New Roman" w:hAnsi="Times New Roman" w:cs="Times New Roman"/>
                <w:b/>
                <w:bCs/>
                <w:sz w:val="18"/>
                <w:szCs w:val="18"/>
              </w:rPr>
            </w:pPr>
            <w:r>
              <w:rPr>
                <w:rFonts w:ascii="Times New Roman" w:hAnsi="Times New Roman" w:cs="Times New Roman"/>
                <w:b/>
                <w:bCs/>
                <w:sz w:val="18"/>
                <w:szCs w:val="18"/>
              </w:rPr>
              <w:t>VOLUME</w:t>
            </w:r>
            <w:r w:rsidRPr="00655237">
              <w:rPr>
                <w:rFonts w:ascii="Times New Roman" w:hAnsi="Times New Roman" w:cs="Times New Roman"/>
                <w:b/>
                <w:bCs/>
                <w:sz w:val="18"/>
                <w:szCs w:val="18"/>
              </w:rPr>
              <w:t xml:space="preserve"> OF THE TRANSPORTED </w:t>
            </w:r>
            <w:r>
              <w:rPr>
                <w:rFonts w:ascii="Times New Roman" w:hAnsi="Times New Roman" w:cs="Times New Roman"/>
                <w:b/>
                <w:bCs/>
                <w:sz w:val="18"/>
                <w:szCs w:val="18"/>
              </w:rPr>
              <w:t>CURRENCY</w:t>
            </w:r>
          </w:p>
          <w:p w:rsidR="00BA0E3A" w:rsidRPr="00655237" w:rsidRDefault="00BA0E3A" w:rsidP="00BA0E3A">
            <w:pPr>
              <w:spacing w:after="0"/>
              <w:jc w:val="center"/>
              <w:rPr>
                <w:rFonts w:ascii="Times New Roman" w:hAnsi="Times New Roman" w:cs="Times New Roman"/>
                <w:b/>
                <w:bCs/>
                <w:sz w:val="24"/>
                <w:szCs w:val="24"/>
              </w:rPr>
            </w:pPr>
            <w:r w:rsidRPr="00655237">
              <w:rPr>
                <w:rFonts w:ascii="Times New Roman" w:hAnsi="Times New Roman" w:cs="Times New Roman"/>
                <w:b/>
                <w:bCs/>
                <w:sz w:val="18"/>
                <w:szCs w:val="18"/>
              </w:rPr>
              <w:t xml:space="preserve">IN </w:t>
            </w:r>
            <w:r w:rsidRPr="00655237">
              <w:rPr>
                <w:rFonts w:ascii="Times New Roman" w:hAnsi="Times New Roman" w:cs="Times New Roman"/>
                <w:b/>
                <w:bCs/>
                <w:sz w:val="24"/>
                <w:szCs w:val="24"/>
              </w:rPr>
              <w:t xml:space="preserve"> </w:t>
            </w:r>
            <w:r w:rsidRPr="00522377">
              <w:rPr>
                <w:rFonts w:ascii="Times New Roman" w:hAnsi="Times New Roman" w:cs="Times New Roman"/>
                <w:b/>
                <w:bCs/>
                <w:sz w:val="18"/>
                <w:szCs w:val="18"/>
              </w:rPr>
              <w:t>EUR</w:t>
            </w:r>
          </w:p>
        </w:tc>
      </w:tr>
      <w:tr w:rsidR="00BA0E3A" w:rsidRPr="00655237" w:rsidTr="00BA0E3A">
        <w:trPr>
          <w:trHeight w:val="567"/>
        </w:trPr>
        <w:tc>
          <w:tcPr>
            <w:tcW w:w="2962" w:type="dxa"/>
            <w:vAlign w:val="center"/>
          </w:tcPr>
          <w:p w:rsidR="00BA0E3A" w:rsidRPr="00655237" w:rsidRDefault="00BA0E3A" w:rsidP="00BA0E3A">
            <w:pPr>
              <w:spacing w:after="0"/>
              <w:jc w:val="center"/>
              <w:rPr>
                <w:rFonts w:ascii="Times New Roman" w:hAnsi="Times New Roman" w:cs="Times New Roman"/>
                <w:b/>
                <w:bCs/>
                <w:sz w:val="24"/>
                <w:szCs w:val="24"/>
              </w:rPr>
            </w:pPr>
            <w:r w:rsidRPr="00655237">
              <w:rPr>
                <w:rFonts w:ascii="Times New Roman" w:hAnsi="Times New Roman" w:cs="Times New Roman"/>
                <w:b/>
                <w:bCs/>
                <w:sz w:val="24"/>
                <w:szCs w:val="24"/>
              </w:rPr>
              <w:t>2009</w:t>
            </w:r>
          </w:p>
        </w:tc>
        <w:tc>
          <w:tcPr>
            <w:tcW w:w="3071" w:type="dxa"/>
            <w:vAlign w:val="center"/>
          </w:tcPr>
          <w:p w:rsidR="00BA0E3A" w:rsidRPr="00655237" w:rsidRDefault="00BA0E3A" w:rsidP="00BA0E3A">
            <w:pPr>
              <w:spacing w:after="0"/>
              <w:jc w:val="center"/>
              <w:rPr>
                <w:rFonts w:ascii="Times New Roman" w:hAnsi="Times New Roman" w:cs="Times New Roman"/>
                <w:sz w:val="24"/>
                <w:szCs w:val="24"/>
              </w:rPr>
            </w:pPr>
            <w:r w:rsidRPr="00655237">
              <w:rPr>
                <w:rFonts w:ascii="Times New Roman" w:hAnsi="Times New Roman" w:cs="Times New Roman"/>
                <w:sz w:val="24"/>
                <w:szCs w:val="24"/>
              </w:rPr>
              <w:t>5</w:t>
            </w:r>
          </w:p>
        </w:tc>
        <w:tc>
          <w:tcPr>
            <w:tcW w:w="3071" w:type="dxa"/>
            <w:vAlign w:val="center"/>
          </w:tcPr>
          <w:p w:rsidR="00BA0E3A" w:rsidRPr="00655237" w:rsidRDefault="00BA0E3A" w:rsidP="00BA0E3A">
            <w:pPr>
              <w:spacing w:after="0"/>
              <w:jc w:val="center"/>
              <w:rPr>
                <w:rFonts w:ascii="Times New Roman" w:hAnsi="Times New Roman" w:cs="Times New Roman"/>
                <w:sz w:val="24"/>
                <w:szCs w:val="24"/>
              </w:rPr>
            </w:pPr>
            <w:r w:rsidRPr="00655237">
              <w:rPr>
                <w:rFonts w:ascii="Times New Roman" w:hAnsi="Times New Roman" w:cs="Times New Roman"/>
                <w:sz w:val="24"/>
                <w:szCs w:val="24"/>
              </w:rPr>
              <w:t>125.400</w:t>
            </w:r>
          </w:p>
        </w:tc>
      </w:tr>
      <w:tr w:rsidR="00BA0E3A" w:rsidRPr="00655237" w:rsidTr="00BA0E3A">
        <w:trPr>
          <w:trHeight w:val="567"/>
        </w:trPr>
        <w:tc>
          <w:tcPr>
            <w:tcW w:w="2962" w:type="dxa"/>
            <w:vAlign w:val="center"/>
          </w:tcPr>
          <w:p w:rsidR="00BA0E3A" w:rsidRPr="00655237" w:rsidRDefault="00BA0E3A" w:rsidP="00BA0E3A">
            <w:pPr>
              <w:spacing w:after="0"/>
              <w:jc w:val="center"/>
              <w:rPr>
                <w:rFonts w:ascii="Times New Roman" w:hAnsi="Times New Roman" w:cs="Times New Roman"/>
                <w:b/>
                <w:bCs/>
                <w:sz w:val="24"/>
                <w:szCs w:val="24"/>
              </w:rPr>
            </w:pPr>
            <w:r w:rsidRPr="00655237">
              <w:rPr>
                <w:rFonts w:ascii="Times New Roman" w:hAnsi="Times New Roman" w:cs="Times New Roman"/>
                <w:b/>
                <w:bCs/>
                <w:sz w:val="24"/>
                <w:szCs w:val="24"/>
              </w:rPr>
              <w:t>2010</w:t>
            </w:r>
          </w:p>
        </w:tc>
        <w:tc>
          <w:tcPr>
            <w:tcW w:w="3071" w:type="dxa"/>
            <w:vAlign w:val="center"/>
          </w:tcPr>
          <w:p w:rsidR="00BA0E3A" w:rsidRPr="00655237" w:rsidRDefault="00BA0E3A" w:rsidP="00BA0E3A">
            <w:pPr>
              <w:spacing w:after="0"/>
              <w:jc w:val="center"/>
              <w:rPr>
                <w:rFonts w:ascii="Times New Roman" w:hAnsi="Times New Roman" w:cs="Times New Roman"/>
                <w:sz w:val="24"/>
                <w:szCs w:val="24"/>
              </w:rPr>
            </w:pPr>
            <w:r w:rsidRPr="00655237">
              <w:rPr>
                <w:rFonts w:ascii="Times New Roman" w:hAnsi="Times New Roman" w:cs="Times New Roman"/>
                <w:sz w:val="24"/>
                <w:szCs w:val="24"/>
              </w:rPr>
              <w:t>36</w:t>
            </w:r>
          </w:p>
        </w:tc>
        <w:tc>
          <w:tcPr>
            <w:tcW w:w="3071" w:type="dxa"/>
            <w:vAlign w:val="center"/>
          </w:tcPr>
          <w:p w:rsidR="00BA0E3A" w:rsidRPr="00655237" w:rsidRDefault="00BA0E3A" w:rsidP="00BA0E3A">
            <w:pPr>
              <w:spacing w:after="0"/>
              <w:jc w:val="center"/>
              <w:rPr>
                <w:rFonts w:ascii="Times New Roman" w:hAnsi="Times New Roman" w:cs="Times New Roman"/>
                <w:sz w:val="24"/>
                <w:szCs w:val="24"/>
              </w:rPr>
            </w:pPr>
            <w:r w:rsidRPr="00655237">
              <w:rPr>
                <w:rFonts w:ascii="Times New Roman" w:hAnsi="Times New Roman" w:cs="Times New Roman"/>
                <w:sz w:val="24"/>
                <w:szCs w:val="24"/>
              </w:rPr>
              <w:t>1.241.178</w:t>
            </w:r>
          </w:p>
        </w:tc>
      </w:tr>
      <w:tr w:rsidR="00BA0E3A" w:rsidRPr="00655237" w:rsidTr="00BA0E3A">
        <w:trPr>
          <w:trHeight w:val="567"/>
        </w:trPr>
        <w:tc>
          <w:tcPr>
            <w:tcW w:w="2962" w:type="dxa"/>
            <w:vAlign w:val="center"/>
          </w:tcPr>
          <w:p w:rsidR="00BA0E3A" w:rsidRPr="00655237" w:rsidRDefault="00BA0E3A" w:rsidP="00BA0E3A">
            <w:pPr>
              <w:spacing w:after="0"/>
              <w:jc w:val="center"/>
              <w:rPr>
                <w:rFonts w:ascii="Times New Roman" w:hAnsi="Times New Roman" w:cs="Times New Roman"/>
                <w:b/>
                <w:bCs/>
                <w:sz w:val="24"/>
                <w:szCs w:val="24"/>
              </w:rPr>
            </w:pPr>
            <w:r w:rsidRPr="00655237">
              <w:rPr>
                <w:rFonts w:ascii="Times New Roman" w:hAnsi="Times New Roman" w:cs="Times New Roman"/>
                <w:b/>
                <w:bCs/>
                <w:sz w:val="24"/>
                <w:szCs w:val="24"/>
              </w:rPr>
              <w:t>2011</w:t>
            </w:r>
          </w:p>
        </w:tc>
        <w:tc>
          <w:tcPr>
            <w:tcW w:w="3071" w:type="dxa"/>
            <w:vAlign w:val="center"/>
          </w:tcPr>
          <w:p w:rsidR="00BA0E3A" w:rsidRPr="00655237" w:rsidRDefault="00BA0E3A" w:rsidP="00BA0E3A">
            <w:pPr>
              <w:spacing w:after="0"/>
              <w:jc w:val="center"/>
              <w:rPr>
                <w:rFonts w:ascii="Times New Roman" w:hAnsi="Times New Roman" w:cs="Times New Roman"/>
                <w:sz w:val="24"/>
                <w:szCs w:val="24"/>
              </w:rPr>
            </w:pPr>
            <w:r w:rsidRPr="00655237">
              <w:rPr>
                <w:rFonts w:ascii="Times New Roman" w:hAnsi="Times New Roman" w:cs="Times New Roman"/>
                <w:sz w:val="24"/>
                <w:szCs w:val="24"/>
              </w:rPr>
              <w:t>66</w:t>
            </w:r>
          </w:p>
        </w:tc>
        <w:tc>
          <w:tcPr>
            <w:tcW w:w="3071" w:type="dxa"/>
            <w:vAlign w:val="center"/>
          </w:tcPr>
          <w:p w:rsidR="00BA0E3A" w:rsidRPr="00655237" w:rsidRDefault="00BA0E3A" w:rsidP="00BA0E3A">
            <w:pPr>
              <w:spacing w:after="0"/>
              <w:jc w:val="center"/>
              <w:rPr>
                <w:rFonts w:ascii="Times New Roman" w:hAnsi="Times New Roman" w:cs="Times New Roman"/>
                <w:sz w:val="24"/>
                <w:szCs w:val="24"/>
              </w:rPr>
            </w:pPr>
            <w:r w:rsidRPr="00655237">
              <w:rPr>
                <w:rFonts w:ascii="Times New Roman" w:hAnsi="Times New Roman" w:cs="Times New Roman"/>
                <w:sz w:val="24"/>
                <w:szCs w:val="24"/>
              </w:rPr>
              <w:t>312.637</w:t>
            </w:r>
          </w:p>
        </w:tc>
      </w:tr>
      <w:tr w:rsidR="00BA0E3A" w:rsidRPr="00655237" w:rsidTr="00BA0E3A">
        <w:trPr>
          <w:trHeight w:val="567"/>
        </w:trPr>
        <w:tc>
          <w:tcPr>
            <w:tcW w:w="2962" w:type="dxa"/>
            <w:vAlign w:val="center"/>
          </w:tcPr>
          <w:p w:rsidR="00BA0E3A" w:rsidRPr="00655237" w:rsidRDefault="00BA0E3A" w:rsidP="00BA0E3A">
            <w:pPr>
              <w:spacing w:after="0"/>
              <w:jc w:val="center"/>
              <w:rPr>
                <w:rFonts w:ascii="Times New Roman" w:hAnsi="Times New Roman" w:cs="Times New Roman"/>
                <w:b/>
                <w:bCs/>
                <w:sz w:val="24"/>
                <w:szCs w:val="24"/>
              </w:rPr>
            </w:pPr>
            <w:r w:rsidRPr="00655237">
              <w:rPr>
                <w:rFonts w:ascii="Times New Roman" w:hAnsi="Times New Roman" w:cs="Times New Roman"/>
                <w:b/>
                <w:bCs/>
                <w:sz w:val="24"/>
                <w:szCs w:val="24"/>
              </w:rPr>
              <w:t>2012</w:t>
            </w:r>
          </w:p>
        </w:tc>
        <w:tc>
          <w:tcPr>
            <w:tcW w:w="3071" w:type="dxa"/>
            <w:vAlign w:val="center"/>
          </w:tcPr>
          <w:p w:rsidR="00BA0E3A" w:rsidRPr="00655237" w:rsidRDefault="00BA0E3A" w:rsidP="00BA0E3A">
            <w:pPr>
              <w:spacing w:after="0"/>
              <w:jc w:val="center"/>
              <w:rPr>
                <w:rFonts w:ascii="Times New Roman" w:hAnsi="Times New Roman" w:cs="Times New Roman"/>
                <w:sz w:val="24"/>
                <w:szCs w:val="24"/>
              </w:rPr>
            </w:pPr>
            <w:r w:rsidRPr="00655237">
              <w:rPr>
                <w:rFonts w:ascii="Times New Roman" w:hAnsi="Times New Roman" w:cs="Times New Roman"/>
                <w:sz w:val="24"/>
                <w:szCs w:val="24"/>
              </w:rPr>
              <w:t>63</w:t>
            </w:r>
          </w:p>
        </w:tc>
        <w:tc>
          <w:tcPr>
            <w:tcW w:w="3071" w:type="dxa"/>
            <w:vAlign w:val="center"/>
          </w:tcPr>
          <w:p w:rsidR="00BA0E3A" w:rsidRPr="00655237" w:rsidRDefault="00BA0E3A" w:rsidP="00BA0E3A">
            <w:pPr>
              <w:spacing w:after="0"/>
              <w:jc w:val="center"/>
              <w:rPr>
                <w:rFonts w:ascii="Times New Roman" w:hAnsi="Times New Roman" w:cs="Times New Roman"/>
                <w:sz w:val="24"/>
                <w:szCs w:val="24"/>
              </w:rPr>
            </w:pPr>
            <w:r w:rsidRPr="00655237">
              <w:rPr>
                <w:rFonts w:ascii="Times New Roman" w:hAnsi="Times New Roman" w:cs="Times New Roman"/>
                <w:sz w:val="24"/>
                <w:szCs w:val="24"/>
              </w:rPr>
              <w:t>1.649.419,38</w:t>
            </w:r>
          </w:p>
        </w:tc>
      </w:tr>
      <w:tr w:rsidR="00BA0E3A" w:rsidRPr="00655237" w:rsidTr="00BA0E3A">
        <w:trPr>
          <w:trHeight w:val="567"/>
        </w:trPr>
        <w:tc>
          <w:tcPr>
            <w:tcW w:w="2962" w:type="dxa"/>
            <w:vAlign w:val="center"/>
          </w:tcPr>
          <w:p w:rsidR="00BA0E3A" w:rsidRPr="00655237" w:rsidRDefault="00BA0E3A" w:rsidP="00BA0E3A">
            <w:pPr>
              <w:spacing w:after="0"/>
              <w:jc w:val="center"/>
              <w:rPr>
                <w:rFonts w:ascii="Times New Roman" w:hAnsi="Times New Roman" w:cs="Times New Roman"/>
                <w:b/>
                <w:bCs/>
                <w:sz w:val="24"/>
                <w:szCs w:val="24"/>
              </w:rPr>
            </w:pPr>
            <w:r w:rsidRPr="00655237">
              <w:rPr>
                <w:rFonts w:ascii="Times New Roman" w:hAnsi="Times New Roman" w:cs="Times New Roman"/>
                <w:b/>
                <w:bCs/>
                <w:sz w:val="24"/>
                <w:szCs w:val="24"/>
              </w:rPr>
              <w:t>2013</w:t>
            </w:r>
          </w:p>
        </w:tc>
        <w:tc>
          <w:tcPr>
            <w:tcW w:w="3071" w:type="dxa"/>
            <w:vAlign w:val="center"/>
          </w:tcPr>
          <w:p w:rsidR="00BA0E3A" w:rsidRPr="00655237" w:rsidRDefault="00BA0E3A" w:rsidP="00BA0E3A">
            <w:pPr>
              <w:spacing w:after="0"/>
              <w:jc w:val="center"/>
              <w:rPr>
                <w:rFonts w:ascii="Times New Roman" w:hAnsi="Times New Roman" w:cs="Times New Roman"/>
                <w:sz w:val="24"/>
                <w:szCs w:val="24"/>
              </w:rPr>
            </w:pPr>
            <w:r w:rsidRPr="00655237">
              <w:rPr>
                <w:rFonts w:ascii="Times New Roman" w:hAnsi="Times New Roman" w:cs="Times New Roman"/>
                <w:sz w:val="24"/>
                <w:szCs w:val="24"/>
              </w:rPr>
              <w:t>58</w:t>
            </w:r>
          </w:p>
        </w:tc>
        <w:tc>
          <w:tcPr>
            <w:tcW w:w="3071" w:type="dxa"/>
            <w:vAlign w:val="center"/>
          </w:tcPr>
          <w:p w:rsidR="00BA0E3A" w:rsidRPr="00655237" w:rsidRDefault="00BA0E3A" w:rsidP="00BA0E3A">
            <w:pPr>
              <w:spacing w:after="0"/>
              <w:jc w:val="center"/>
              <w:rPr>
                <w:rFonts w:ascii="Times New Roman" w:hAnsi="Times New Roman" w:cs="Times New Roman"/>
                <w:sz w:val="24"/>
                <w:szCs w:val="24"/>
              </w:rPr>
            </w:pPr>
            <w:r w:rsidRPr="00655237">
              <w:rPr>
                <w:rFonts w:ascii="Times New Roman" w:hAnsi="Times New Roman" w:cs="Times New Roman"/>
                <w:sz w:val="24"/>
                <w:szCs w:val="24"/>
              </w:rPr>
              <w:t>1.942.132,56</w:t>
            </w:r>
          </w:p>
        </w:tc>
      </w:tr>
    </w:tbl>
    <w:p w:rsidR="00BA0E3A" w:rsidRDefault="00BA0E3A" w:rsidP="00BA0E3A">
      <w:pPr>
        <w:spacing w:after="0"/>
        <w:jc w:val="both"/>
        <w:rPr>
          <w:rFonts w:ascii="Times New Roman" w:eastAsia="Batang" w:hAnsi="Times New Roman"/>
          <w:sz w:val="24"/>
          <w:szCs w:val="24"/>
          <w:lang w:eastAsia="sk-SK"/>
        </w:rPr>
      </w:pPr>
    </w:p>
    <w:p w:rsidR="00BA0E3A" w:rsidRDefault="00BA0E3A" w:rsidP="00BA0E3A">
      <w:pPr>
        <w:spacing w:after="0"/>
        <w:jc w:val="both"/>
        <w:rPr>
          <w:rFonts w:ascii="Times New Roman" w:eastAsia="Batang" w:hAnsi="Times New Roman"/>
          <w:sz w:val="24"/>
          <w:szCs w:val="24"/>
          <w:lang w:eastAsia="sk-SK"/>
        </w:rPr>
      </w:pPr>
    </w:p>
    <w:p w:rsidR="00BA0E3A" w:rsidRDefault="00BA0E3A" w:rsidP="00BA0E3A">
      <w:pPr>
        <w:spacing w:after="0"/>
        <w:jc w:val="both"/>
        <w:rPr>
          <w:rFonts w:ascii="Times New Roman" w:eastAsia="Batang" w:hAnsi="Times New Roman"/>
          <w:sz w:val="24"/>
          <w:szCs w:val="24"/>
          <w:lang w:eastAsia="sk-SK"/>
        </w:rPr>
      </w:pPr>
    </w:p>
    <w:p w:rsidR="0007463C" w:rsidRDefault="0007463C" w:rsidP="00BA0E3A">
      <w:pPr>
        <w:spacing w:after="0"/>
        <w:jc w:val="both"/>
        <w:rPr>
          <w:rFonts w:ascii="Times New Roman" w:eastAsia="Batang" w:hAnsi="Times New Roman"/>
          <w:sz w:val="24"/>
          <w:szCs w:val="24"/>
          <w:lang w:eastAsia="sk-SK"/>
        </w:rPr>
      </w:pPr>
    </w:p>
    <w:p w:rsidR="0007463C" w:rsidRDefault="0007463C" w:rsidP="00BA0E3A">
      <w:pPr>
        <w:spacing w:after="0"/>
        <w:jc w:val="both"/>
        <w:rPr>
          <w:rFonts w:ascii="Times New Roman" w:eastAsia="Batang" w:hAnsi="Times New Roman"/>
          <w:sz w:val="24"/>
          <w:szCs w:val="24"/>
          <w:lang w:eastAsia="sk-SK"/>
        </w:rPr>
      </w:pPr>
    </w:p>
    <w:p w:rsidR="0007463C" w:rsidRDefault="0007463C" w:rsidP="00BA0E3A">
      <w:pPr>
        <w:spacing w:after="0"/>
        <w:jc w:val="both"/>
        <w:rPr>
          <w:rFonts w:ascii="Times New Roman" w:eastAsia="Batang" w:hAnsi="Times New Roman"/>
          <w:sz w:val="24"/>
          <w:szCs w:val="24"/>
          <w:lang w:eastAsia="sk-SK"/>
        </w:rPr>
      </w:pPr>
    </w:p>
    <w:p w:rsidR="0007463C" w:rsidRDefault="0007463C" w:rsidP="00BA0E3A">
      <w:pPr>
        <w:spacing w:after="0"/>
        <w:jc w:val="both"/>
        <w:rPr>
          <w:rFonts w:ascii="Times New Roman" w:eastAsia="Batang" w:hAnsi="Times New Roman"/>
          <w:sz w:val="24"/>
          <w:szCs w:val="24"/>
          <w:lang w:eastAsia="sk-SK"/>
        </w:rPr>
      </w:pPr>
    </w:p>
    <w:p w:rsidR="00BA0E3A" w:rsidRPr="00655237" w:rsidRDefault="00BA0E3A" w:rsidP="00BA0E3A">
      <w:pPr>
        <w:spacing w:after="0"/>
        <w:jc w:val="both"/>
        <w:rPr>
          <w:rFonts w:ascii="Times New Roman" w:eastAsia="Batang" w:hAnsi="Times New Roman"/>
          <w:sz w:val="24"/>
          <w:szCs w:val="24"/>
          <w:lang w:eastAsia="sk-SK"/>
        </w:rPr>
      </w:pPr>
    </w:p>
    <w:p w:rsidR="00BA0E3A" w:rsidRPr="00655237" w:rsidRDefault="00BA0E3A" w:rsidP="00BA0E3A">
      <w:pPr>
        <w:spacing w:after="0"/>
        <w:jc w:val="both"/>
        <w:rPr>
          <w:rFonts w:ascii="Times New Roman" w:hAnsi="Times New Roman" w:cs="Times New Roman"/>
          <w:sz w:val="20"/>
          <w:szCs w:val="20"/>
        </w:rPr>
      </w:pPr>
      <w:r w:rsidRPr="00655237">
        <w:rPr>
          <w:rFonts w:ascii="Times New Roman" w:hAnsi="Times New Roman" w:cs="Times New Roman"/>
          <w:sz w:val="20"/>
          <w:szCs w:val="20"/>
        </w:rPr>
        <w:lastRenderedPageBreak/>
        <w:t xml:space="preserve">Graph No. 6: </w:t>
      </w:r>
      <w:r>
        <w:rPr>
          <w:rFonts w:ascii="Times New Roman" w:hAnsi="Times New Roman" w:cs="Times New Roman"/>
          <w:sz w:val="20"/>
          <w:szCs w:val="20"/>
        </w:rPr>
        <w:t>Volume of the currency transported</w:t>
      </w:r>
      <w:r w:rsidRPr="00655237">
        <w:rPr>
          <w:rFonts w:ascii="Times New Roman" w:hAnsi="Times New Roman" w:cs="Times New Roman"/>
          <w:sz w:val="20"/>
          <w:szCs w:val="20"/>
        </w:rPr>
        <w:t xml:space="preserve"> from/to E</w:t>
      </w:r>
      <w:r w:rsidR="004A646B">
        <w:rPr>
          <w:rFonts w:ascii="Times New Roman" w:hAnsi="Times New Roman" w:cs="Times New Roman"/>
          <w:sz w:val="20"/>
          <w:szCs w:val="20"/>
        </w:rPr>
        <w:t>uropean Union</w:t>
      </w:r>
      <w:r w:rsidRPr="00655237">
        <w:rPr>
          <w:rFonts w:ascii="Times New Roman" w:hAnsi="Times New Roman" w:cs="Times New Roman"/>
          <w:sz w:val="20"/>
          <w:szCs w:val="20"/>
        </w:rPr>
        <w:t xml:space="preserve"> reported to FSJ in 2009 – 2013</w:t>
      </w:r>
    </w:p>
    <w:p w:rsidR="00BA0E3A" w:rsidRPr="00655237" w:rsidRDefault="00BA0E3A" w:rsidP="00BA0E3A">
      <w:pPr>
        <w:spacing w:after="0"/>
        <w:jc w:val="both"/>
        <w:rPr>
          <w:rFonts w:ascii="Times New Roman" w:eastAsia="Batang" w:hAnsi="Times New Roman"/>
          <w:sz w:val="24"/>
          <w:szCs w:val="24"/>
          <w:lang w:eastAsia="sk-SK"/>
        </w:rPr>
      </w:pPr>
      <w:r w:rsidRPr="00655237">
        <w:rPr>
          <w:rFonts w:ascii="Times New Roman" w:hAnsi="Times New Roman" w:cs="Times New Roman"/>
          <w:noProof/>
          <w:color w:val="E36C0A"/>
          <w:sz w:val="20"/>
          <w:szCs w:val="20"/>
          <w:lang w:val="sk-SK" w:eastAsia="sk-SK"/>
        </w:rPr>
        <w:drawing>
          <wp:inline distT="0" distB="0" distL="0" distR="0" wp14:anchorId="27D42219" wp14:editId="102CE510">
            <wp:extent cx="5701030" cy="3379470"/>
            <wp:effectExtent l="0" t="0" r="0" b="0"/>
            <wp:docPr id="10" name="Objek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0E3A" w:rsidRPr="00655237" w:rsidRDefault="00BA0E3A" w:rsidP="00BA0E3A">
      <w:pPr>
        <w:spacing w:after="0"/>
        <w:jc w:val="both"/>
        <w:rPr>
          <w:rFonts w:ascii="Times New Roman" w:eastAsia="Batang" w:hAnsi="Times New Roman"/>
          <w:sz w:val="24"/>
          <w:szCs w:val="24"/>
          <w:highlight w:val="cyan"/>
          <w:lang w:eastAsia="sk-SK"/>
        </w:rPr>
      </w:pPr>
    </w:p>
    <w:p w:rsidR="00BA0E3A" w:rsidRPr="00703FF7" w:rsidRDefault="00BA0E3A" w:rsidP="00BA0E3A">
      <w:pPr>
        <w:spacing w:after="0" w:line="240" w:lineRule="auto"/>
        <w:ind w:firstLine="662"/>
        <w:jc w:val="both"/>
        <w:rPr>
          <w:rFonts w:ascii="Times New Roman" w:eastAsia="Times New Roman" w:hAnsi="Times New Roman" w:cs="Times New Roman"/>
          <w:sz w:val="24"/>
          <w:szCs w:val="24"/>
          <w:lang w:eastAsia="sk-SK"/>
        </w:rPr>
      </w:pPr>
      <w:r w:rsidRPr="00703FF7">
        <w:rPr>
          <w:rFonts w:ascii="Times New Roman" w:eastAsia="Batang" w:hAnsi="Times New Roman" w:cs="Times New Roman"/>
          <w:sz w:val="24"/>
          <w:szCs w:val="24"/>
          <w:lang w:eastAsia="sk-SK"/>
        </w:rPr>
        <w:t>The mos</w:t>
      </w:r>
      <w:r>
        <w:rPr>
          <w:rFonts w:ascii="Times New Roman" w:eastAsia="Batang" w:hAnsi="Times New Roman" w:cs="Times New Roman"/>
          <w:sz w:val="24"/>
          <w:szCs w:val="24"/>
          <w:lang w:eastAsia="sk-SK"/>
        </w:rPr>
        <w:t>t commonly stated purpose of</w:t>
      </w:r>
      <w:r w:rsidRPr="00703FF7">
        <w:rPr>
          <w:rFonts w:ascii="Times New Roman" w:eastAsia="Batang" w:hAnsi="Times New Roman" w:cs="Times New Roman"/>
          <w:sz w:val="24"/>
          <w:szCs w:val="24"/>
          <w:lang w:eastAsia="sk-SK"/>
        </w:rPr>
        <w:t xml:space="preserve"> use of the transported currency in cash was the purchase of motor vehicle</w:t>
      </w:r>
      <w:r>
        <w:rPr>
          <w:rFonts w:ascii="Times New Roman" w:eastAsia="Batang" w:hAnsi="Times New Roman" w:cs="Times New Roman"/>
          <w:sz w:val="24"/>
          <w:szCs w:val="24"/>
          <w:lang w:eastAsia="sk-SK"/>
        </w:rPr>
        <w:t>s</w:t>
      </w:r>
      <w:r w:rsidRPr="00703FF7">
        <w:rPr>
          <w:rFonts w:ascii="Times New Roman" w:eastAsia="Batang" w:hAnsi="Times New Roman" w:cs="Times New Roman"/>
          <w:sz w:val="24"/>
          <w:szCs w:val="24"/>
          <w:lang w:eastAsia="sk-SK"/>
        </w:rPr>
        <w:t xml:space="preserve"> in </w:t>
      </w:r>
      <w:r>
        <w:rPr>
          <w:rFonts w:ascii="Times New Roman" w:eastAsia="Batang" w:hAnsi="Times New Roman" w:cs="Times New Roman"/>
          <w:sz w:val="24"/>
          <w:szCs w:val="24"/>
          <w:lang w:eastAsia="sk-SK"/>
        </w:rPr>
        <w:t xml:space="preserve">the </w:t>
      </w:r>
      <w:r w:rsidRPr="00703FF7">
        <w:rPr>
          <w:rFonts w:ascii="Times New Roman" w:eastAsia="Batang" w:hAnsi="Times New Roman" w:cs="Times New Roman"/>
          <w:sz w:val="24"/>
          <w:szCs w:val="24"/>
          <w:lang w:eastAsia="sk-SK"/>
        </w:rPr>
        <w:t xml:space="preserve">Slovak Republic, in Germany, in Poland, in Austria, in Italy and in Hungary, </w:t>
      </w:r>
      <w:r>
        <w:rPr>
          <w:rFonts w:ascii="Times New Roman" w:eastAsia="Times New Roman" w:hAnsi="Times New Roman" w:cs="Times New Roman"/>
          <w:sz w:val="24"/>
          <w:szCs w:val="24"/>
          <w:lang w:eastAsia="sk-SK"/>
        </w:rPr>
        <w:t>but also</w:t>
      </w:r>
      <w:r w:rsidRPr="00703FF7">
        <w:rPr>
          <w:rFonts w:ascii="Times New Roman" w:eastAsia="Times New Roman" w:hAnsi="Times New Roman" w:cs="Times New Roman"/>
          <w:sz w:val="24"/>
          <w:szCs w:val="24"/>
          <w:lang w:eastAsia="sk-SK"/>
        </w:rPr>
        <w:t> deposit</w:t>
      </w:r>
      <w:r>
        <w:rPr>
          <w:rFonts w:ascii="Times New Roman" w:eastAsia="Times New Roman" w:hAnsi="Times New Roman" w:cs="Times New Roman"/>
          <w:sz w:val="24"/>
          <w:szCs w:val="24"/>
          <w:lang w:eastAsia="sk-SK"/>
        </w:rPr>
        <w:t>s</w:t>
      </w:r>
      <w:r w:rsidRPr="00703FF7">
        <w:rPr>
          <w:rFonts w:ascii="Times New Roman" w:eastAsia="Times New Roman" w:hAnsi="Times New Roman" w:cs="Times New Roman"/>
          <w:sz w:val="24"/>
          <w:szCs w:val="24"/>
          <w:lang w:eastAsia="sk-SK"/>
        </w:rPr>
        <w:t xml:space="preserve"> to bank account</w:t>
      </w:r>
      <w:r>
        <w:rPr>
          <w:rFonts w:ascii="Times New Roman" w:eastAsia="Times New Roman" w:hAnsi="Times New Roman" w:cs="Times New Roman"/>
          <w:sz w:val="24"/>
          <w:szCs w:val="24"/>
          <w:lang w:eastAsia="sk-SK"/>
        </w:rPr>
        <w:t>s</w:t>
      </w:r>
      <w:r w:rsidRPr="00703FF7">
        <w:rPr>
          <w:rFonts w:ascii="Times New Roman" w:eastAsia="Times New Roman" w:hAnsi="Times New Roman" w:cs="Times New Roman"/>
          <w:sz w:val="24"/>
          <w:szCs w:val="24"/>
          <w:lang w:eastAsia="sk-SK"/>
        </w:rPr>
        <w:t xml:space="preserve"> conducted in </w:t>
      </w:r>
      <w:r>
        <w:rPr>
          <w:rFonts w:ascii="Times New Roman" w:eastAsia="Times New Roman" w:hAnsi="Times New Roman" w:cs="Times New Roman"/>
          <w:sz w:val="24"/>
          <w:szCs w:val="24"/>
          <w:lang w:eastAsia="sk-SK"/>
        </w:rPr>
        <w:t>the Slovak Republic</w:t>
      </w:r>
      <w:r w:rsidRPr="00703FF7">
        <w:rPr>
          <w:rFonts w:ascii="Times New Roman" w:eastAsia="Times New Roman" w:hAnsi="Times New Roman" w:cs="Times New Roman"/>
          <w:sz w:val="24"/>
          <w:szCs w:val="24"/>
          <w:lang w:eastAsia="sk-SK"/>
        </w:rPr>
        <w:t>, or for the personal use,</w:t>
      </w:r>
      <w:r w:rsidRPr="00703FF7">
        <w:rPr>
          <w:rFonts w:ascii="Times New Roman" w:hAnsi="Times New Roman" w:cs="Times New Roman"/>
          <w:color w:val="000000"/>
          <w:sz w:val="24"/>
          <w:szCs w:val="24"/>
          <w:shd w:val="clear" w:color="auto" w:fill="FFFFFF"/>
        </w:rPr>
        <w:t xml:space="preserve"> in some cases, the purpose of use</w:t>
      </w:r>
      <w:r>
        <w:rPr>
          <w:rFonts w:ascii="Times New Roman" w:hAnsi="Times New Roman" w:cs="Times New Roman"/>
          <w:color w:val="000000"/>
          <w:sz w:val="24"/>
          <w:szCs w:val="24"/>
          <w:shd w:val="clear" w:color="auto" w:fill="FFFFFF"/>
        </w:rPr>
        <w:t xml:space="preserve"> </w:t>
      </w:r>
      <w:r w:rsidRPr="00703FF7">
        <w:rPr>
          <w:rFonts w:ascii="Times New Roman" w:hAnsi="Times New Roman" w:cs="Times New Roman"/>
          <w:color w:val="000000"/>
          <w:sz w:val="24"/>
          <w:szCs w:val="24"/>
          <w:shd w:val="clear" w:color="auto" w:fill="FFFFFF"/>
        </w:rPr>
        <w:t>has not been given</w:t>
      </w:r>
      <w:r w:rsidRPr="00703FF7">
        <w:rPr>
          <w:rFonts w:ascii="Times New Roman" w:eastAsia="Times New Roman" w:hAnsi="Times New Roman" w:cs="Times New Roman"/>
          <w:sz w:val="24"/>
          <w:szCs w:val="24"/>
          <w:lang w:eastAsia="sk-SK"/>
        </w:rPr>
        <w:t xml:space="preserve">. </w:t>
      </w:r>
    </w:p>
    <w:p w:rsidR="00BA0E3A" w:rsidRPr="00132AF4" w:rsidRDefault="00BA0E3A" w:rsidP="00BA0E3A">
      <w:pPr>
        <w:spacing w:before="100" w:beforeAutospacing="1" w:after="100" w:afterAutospacing="1" w:line="240" w:lineRule="auto"/>
        <w:ind w:firstLine="709"/>
        <w:jc w:val="both"/>
        <w:rPr>
          <w:rFonts w:ascii="Times New Roman" w:hAnsi="Times New Roman" w:cs="Times New Roman"/>
          <w:color w:val="000000"/>
          <w:sz w:val="24"/>
          <w:szCs w:val="24"/>
          <w:shd w:val="clear" w:color="auto" w:fill="FFFFFF"/>
        </w:rPr>
      </w:pPr>
      <w:r>
        <w:rPr>
          <w:rFonts w:ascii="Times New Roman" w:eastAsia="Batang" w:hAnsi="Times New Roman" w:cs="Times New Roman"/>
          <w:sz w:val="24"/>
          <w:szCs w:val="24"/>
          <w:lang w:eastAsia="sk-SK"/>
        </w:rPr>
        <w:t>Lately</w:t>
      </w:r>
      <w:r w:rsidRPr="0058595A">
        <w:rPr>
          <w:rFonts w:ascii="Times New Roman" w:eastAsia="Batang" w:hAnsi="Times New Roman" w:cs="Times New Roman"/>
          <w:sz w:val="24"/>
          <w:szCs w:val="24"/>
          <w:lang w:eastAsia="sk-SK"/>
        </w:rPr>
        <w:t xml:space="preserve"> F</w:t>
      </w:r>
      <w:r>
        <w:rPr>
          <w:rFonts w:ascii="Times New Roman" w:eastAsia="Batang" w:hAnsi="Times New Roman" w:cs="Times New Roman"/>
          <w:sz w:val="24"/>
          <w:szCs w:val="24"/>
          <w:lang w:eastAsia="sk-SK"/>
        </w:rPr>
        <w:t xml:space="preserve">SJ </w:t>
      </w:r>
      <w:r w:rsidRPr="0058595A">
        <w:rPr>
          <w:rFonts w:ascii="Times New Roman" w:eastAsia="Batang" w:hAnsi="Times New Roman" w:cs="Times New Roman"/>
          <w:sz w:val="24"/>
          <w:szCs w:val="24"/>
          <w:lang w:eastAsia="sk-SK"/>
        </w:rPr>
        <w:t>recorded an increase in cases of transportation of currency for the purpose of purchas</w:t>
      </w:r>
      <w:r>
        <w:rPr>
          <w:rFonts w:ascii="Times New Roman" w:eastAsia="Batang" w:hAnsi="Times New Roman" w:cs="Times New Roman"/>
          <w:sz w:val="24"/>
          <w:szCs w:val="24"/>
          <w:lang w:eastAsia="sk-SK"/>
        </w:rPr>
        <w:t xml:space="preserve">e of </w:t>
      </w:r>
      <w:r w:rsidRPr="0058595A">
        <w:rPr>
          <w:rFonts w:ascii="Times New Roman" w:eastAsia="Batang" w:hAnsi="Times New Roman" w:cs="Times New Roman"/>
          <w:sz w:val="24"/>
          <w:szCs w:val="24"/>
          <w:lang w:eastAsia="sk-SK"/>
        </w:rPr>
        <w:t xml:space="preserve">real estate in the Slovak Republic (13 cases). In 1 case, </w:t>
      </w:r>
      <w:r>
        <w:rPr>
          <w:rFonts w:ascii="Times New Roman" w:eastAsia="Batang" w:hAnsi="Times New Roman" w:cs="Times New Roman"/>
          <w:sz w:val="24"/>
          <w:szCs w:val="24"/>
          <w:lang w:eastAsia="sk-SK"/>
        </w:rPr>
        <w:t>a</w:t>
      </w:r>
      <w:r w:rsidRPr="0058595A">
        <w:rPr>
          <w:rFonts w:ascii="Times New Roman" w:eastAsia="Batang" w:hAnsi="Times New Roman" w:cs="Times New Roman"/>
          <w:sz w:val="24"/>
          <w:szCs w:val="24"/>
          <w:lang w:eastAsia="sk-SK"/>
        </w:rPr>
        <w:t xml:space="preserve"> Slo</w:t>
      </w:r>
      <w:r>
        <w:rPr>
          <w:rFonts w:ascii="Times New Roman" w:eastAsia="Batang" w:hAnsi="Times New Roman" w:cs="Times New Roman"/>
          <w:sz w:val="24"/>
          <w:szCs w:val="24"/>
          <w:lang w:eastAsia="sk-SK"/>
        </w:rPr>
        <w:t>vak citizen transported by air</w:t>
      </w:r>
      <w:r w:rsidRPr="0058595A">
        <w:rPr>
          <w:rFonts w:ascii="Times New Roman" w:eastAsia="Batang" w:hAnsi="Times New Roman" w:cs="Times New Roman"/>
          <w:sz w:val="24"/>
          <w:szCs w:val="24"/>
          <w:lang w:eastAsia="sk-SK"/>
        </w:rPr>
        <w:t xml:space="preserve"> from Switzerland 50 gold </w:t>
      </w:r>
      <w:r w:rsidRPr="00132AF4">
        <w:rPr>
          <w:rFonts w:ascii="Times New Roman" w:eastAsia="Batang" w:hAnsi="Times New Roman" w:cs="Times New Roman"/>
          <w:sz w:val="24"/>
          <w:szCs w:val="24"/>
          <w:lang w:eastAsia="sk-SK"/>
        </w:rPr>
        <w:t xml:space="preserve">coins. </w:t>
      </w:r>
    </w:p>
    <w:p w:rsidR="00BA0E3A" w:rsidRPr="00C55C88" w:rsidRDefault="00BA0E3A" w:rsidP="00BA0E3A">
      <w:pPr>
        <w:spacing w:before="100" w:beforeAutospacing="1" w:after="100" w:afterAutospacing="1" w:line="240" w:lineRule="auto"/>
        <w:ind w:firstLine="709"/>
        <w:jc w:val="both"/>
        <w:rPr>
          <w:rFonts w:ascii="Times New Roman" w:eastAsia="Batang" w:hAnsi="Times New Roman" w:cs="Times New Roman"/>
          <w:sz w:val="24"/>
          <w:szCs w:val="24"/>
          <w:lang w:eastAsia="sk-SK"/>
        </w:rPr>
      </w:pPr>
      <w:r w:rsidRPr="00132AF4">
        <w:rPr>
          <w:rFonts w:ascii="Times New Roman" w:eastAsia="Batang" w:hAnsi="Times New Roman" w:cs="Times New Roman"/>
          <w:sz w:val="24"/>
          <w:szCs w:val="24"/>
          <w:lang w:eastAsia="sk-SK"/>
        </w:rPr>
        <w:t>FSJ received 1 notification from the Financial directorate of the Slovak Republic, division of taxes and customs, forwarded from the Financial (customs) office in Dublin</w:t>
      </w:r>
      <w:r>
        <w:rPr>
          <w:rFonts w:ascii="Times New Roman" w:eastAsia="Batang" w:hAnsi="Times New Roman" w:cs="Times New Roman"/>
          <w:sz w:val="24"/>
          <w:szCs w:val="24"/>
          <w:lang w:eastAsia="sk-SK"/>
        </w:rPr>
        <w:t>,</w:t>
      </w:r>
      <w:r w:rsidRPr="00132AF4">
        <w:rPr>
          <w:rFonts w:ascii="Times New Roman" w:eastAsia="Batang" w:hAnsi="Times New Roman" w:cs="Times New Roman"/>
          <w:sz w:val="24"/>
          <w:szCs w:val="24"/>
          <w:lang w:eastAsia="sk-SK"/>
        </w:rPr>
        <w:t xml:space="preserve"> concerning the seizure of cash in amount of 20.000 EUR from </w:t>
      </w:r>
      <w:r>
        <w:rPr>
          <w:rFonts w:ascii="Times New Roman" w:eastAsia="Batang" w:hAnsi="Times New Roman" w:cs="Times New Roman"/>
          <w:sz w:val="24"/>
          <w:szCs w:val="24"/>
          <w:lang w:eastAsia="sk-SK"/>
        </w:rPr>
        <w:t>a</w:t>
      </w:r>
      <w:r w:rsidRPr="00132AF4">
        <w:rPr>
          <w:rFonts w:ascii="Times New Roman" w:eastAsia="Batang" w:hAnsi="Times New Roman" w:cs="Times New Roman"/>
          <w:sz w:val="24"/>
          <w:szCs w:val="24"/>
          <w:lang w:eastAsia="sk-SK"/>
        </w:rPr>
        <w:t xml:space="preserve"> Slovak citizen who fail</w:t>
      </w:r>
      <w:r>
        <w:rPr>
          <w:rFonts w:ascii="Times New Roman" w:eastAsia="Batang" w:hAnsi="Times New Roman" w:cs="Times New Roman"/>
          <w:sz w:val="24"/>
          <w:szCs w:val="24"/>
          <w:lang w:eastAsia="sk-SK"/>
        </w:rPr>
        <w:t>ed</w:t>
      </w:r>
      <w:r w:rsidRPr="00132AF4">
        <w:rPr>
          <w:rFonts w:ascii="Times New Roman" w:eastAsia="Batang" w:hAnsi="Times New Roman" w:cs="Times New Roman"/>
          <w:sz w:val="24"/>
          <w:szCs w:val="24"/>
          <w:lang w:eastAsia="sk-SK"/>
        </w:rPr>
        <w:t xml:space="preserve"> to meet the notification obligation arising from the regulation</w:t>
      </w:r>
      <w:r w:rsidRPr="002C5514">
        <w:rPr>
          <w:rFonts w:ascii="Times New Roman" w:eastAsia="Batang" w:hAnsi="Times New Roman" w:cs="Times New Roman"/>
          <w:sz w:val="24"/>
          <w:szCs w:val="24"/>
          <w:lang w:eastAsia="sk-SK"/>
        </w:rPr>
        <w:t xml:space="preserve"> (EC) No 1889/2005 on controls of cash entering or leaving the Community</w:t>
      </w:r>
      <w:r>
        <w:rPr>
          <w:rFonts w:ascii="Times New Roman" w:eastAsia="Batang" w:hAnsi="Times New Roman" w:cs="Times New Roman"/>
          <w:sz w:val="24"/>
          <w:szCs w:val="24"/>
          <w:lang w:eastAsia="sk-SK"/>
        </w:rPr>
        <w:t xml:space="preserve">. FSJ also received 1 notification forwarded from the Customs office in Innsbruck concerning the seizure of documents that pointed to banking transactions realised by a Slovak citizen. After the verification in both </w:t>
      </w:r>
      <w:r w:rsidRPr="00C55C88">
        <w:rPr>
          <w:rFonts w:ascii="Times New Roman" w:eastAsia="Batang" w:hAnsi="Times New Roman" w:cs="Times New Roman"/>
          <w:sz w:val="24"/>
          <w:szCs w:val="24"/>
          <w:lang w:eastAsia="sk-SK"/>
        </w:rPr>
        <w:t xml:space="preserve">cases the information was evaluated and inserted into </w:t>
      </w:r>
      <w:r>
        <w:rPr>
          <w:rFonts w:ascii="Times New Roman" w:eastAsia="Batang" w:hAnsi="Times New Roman" w:cs="Times New Roman"/>
          <w:sz w:val="24"/>
          <w:szCs w:val="24"/>
          <w:lang w:eastAsia="sk-SK"/>
        </w:rPr>
        <w:t xml:space="preserve">the </w:t>
      </w:r>
      <w:r w:rsidRPr="00C55C88">
        <w:rPr>
          <w:rFonts w:ascii="Times New Roman" w:eastAsia="Batang" w:hAnsi="Times New Roman" w:cs="Times New Roman"/>
          <w:sz w:val="24"/>
          <w:szCs w:val="24"/>
          <w:lang w:eastAsia="sk-SK"/>
        </w:rPr>
        <w:t>database for further utilization.</w:t>
      </w:r>
    </w:p>
    <w:p w:rsidR="00BA0E3A" w:rsidRPr="00655237" w:rsidRDefault="00BA0E3A" w:rsidP="00BA0E3A">
      <w:pPr>
        <w:spacing w:before="100" w:beforeAutospacing="1" w:after="100" w:afterAutospacing="1" w:line="240" w:lineRule="auto"/>
        <w:ind w:firstLine="709"/>
        <w:jc w:val="both"/>
        <w:rPr>
          <w:rFonts w:ascii="Times New Roman" w:hAnsi="Times New Roman" w:cs="Times New Roman"/>
          <w:sz w:val="24"/>
          <w:szCs w:val="24"/>
        </w:rPr>
      </w:pPr>
      <w:r w:rsidRPr="00C55C88">
        <w:rPr>
          <w:rFonts w:ascii="Times New Roman" w:hAnsi="Times New Roman" w:cs="Times New Roman"/>
          <w:sz w:val="24"/>
          <w:szCs w:val="24"/>
          <w:shd w:val="clear" w:color="auto" w:fill="FFFFFF"/>
        </w:rPr>
        <w:t xml:space="preserve">Information from the received reports on transportation of currency were </w:t>
      </w:r>
      <w:r>
        <w:rPr>
          <w:rFonts w:ascii="Times New Roman" w:hAnsi="Times New Roman" w:cs="Times New Roman"/>
          <w:sz w:val="24"/>
          <w:szCs w:val="24"/>
          <w:shd w:val="clear" w:color="auto" w:fill="FFFFFF"/>
        </w:rPr>
        <w:t xml:space="preserve">after </w:t>
      </w:r>
      <w:r w:rsidRPr="00C55C88">
        <w:rPr>
          <w:rFonts w:ascii="Times New Roman" w:hAnsi="Times New Roman" w:cs="Times New Roman"/>
          <w:sz w:val="24"/>
          <w:szCs w:val="24"/>
          <w:shd w:val="clear" w:color="auto" w:fill="FFFFFF"/>
        </w:rPr>
        <w:t>examin</w:t>
      </w:r>
      <w:r>
        <w:rPr>
          <w:rFonts w:ascii="Times New Roman" w:hAnsi="Times New Roman" w:cs="Times New Roman"/>
          <w:sz w:val="24"/>
          <w:szCs w:val="24"/>
          <w:shd w:val="clear" w:color="auto" w:fill="FFFFFF"/>
        </w:rPr>
        <w:t xml:space="preserve">ation via </w:t>
      </w:r>
      <w:r w:rsidRPr="00C55C88">
        <w:rPr>
          <w:rFonts w:ascii="Times New Roman" w:hAnsi="Times New Roman" w:cs="Times New Roman"/>
          <w:sz w:val="24"/>
          <w:szCs w:val="24"/>
          <w:shd w:val="clear" w:color="auto" w:fill="FFFFFF"/>
        </w:rPr>
        <w:t>the available information systems of the police force, including the information system of FSJ and examin</w:t>
      </w:r>
      <w:r>
        <w:rPr>
          <w:rFonts w:ascii="Times New Roman" w:hAnsi="Times New Roman" w:cs="Times New Roman"/>
          <w:sz w:val="24"/>
          <w:szCs w:val="24"/>
          <w:shd w:val="clear" w:color="auto" w:fill="FFFFFF"/>
        </w:rPr>
        <w:t>ation</w:t>
      </w:r>
      <w:r w:rsidRPr="00C55C88">
        <w:rPr>
          <w:rFonts w:ascii="Times New Roman" w:hAnsi="Times New Roman" w:cs="Times New Roman"/>
          <w:sz w:val="24"/>
          <w:szCs w:val="24"/>
          <w:shd w:val="clear" w:color="auto" w:fill="FFFFFF"/>
        </w:rPr>
        <w:t xml:space="preserve"> in open sources</w:t>
      </w:r>
      <w:r>
        <w:rPr>
          <w:rFonts w:ascii="Times New Roman" w:hAnsi="Times New Roman" w:cs="Times New Roman"/>
          <w:sz w:val="24"/>
          <w:szCs w:val="24"/>
          <w:shd w:val="clear" w:color="auto" w:fill="FFFFFF"/>
        </w:rPr>
        <w:t xml:space="preserve"> were</w:t>
      </w:r>
      <w:r w:rsidRPr="00C55C88">
        <w:rPr>
          <w:rFonts w:ascii="Times New Roman" w:hAnsi="Times New Roman" w:cs="Times New Roman"/>
          <w:sz w:val="24"/>
          <w:szCs w:val="24"/>
          <w:shd w:val="clear" w:color="auto" w:fill="FFFFFF"/>
        </w:rPr>
        <w:t xml:space="preserve"> subsequently inserted into the internal database of FSJ for further utilization (in number 52 cases), in 3 cases was the information spontaneously forwarded to FIU Ukraine and in 3 cases to FIU Russia.</w:t>
      </w:r>
    </w:p>
    <w:p w:rsidR="00BA0E3A" w:rsidRDefault="00BA0E3A" w:rsidP="00BA0E3A">
      <w:pPr>
        <w:spacing w:after="0"/>
        <w:jc w:val="both"/>
        <w:rPr>
          <w:rFonts w:ascii="Times New Roman" w:hAnsi="Times New Roman" w:cs="Times New Roman"/>
          <w:sz w:val="24"/>
          <w:szCs w:val="24"/>
        </w:rPr>
      </w:pPr>
    </w:p>
    <w:p w:rsidR="00522377" w:rsidRPr="00655237" w:rsidRDefault="00522377" w:rsidP="00BA0E3A">
      <w:pPr>
        <w:spacing w:after="0"/>
        <w:jc w:val="both"/>
        <w:rPr>
          <w:rFonts w:ascii="Times New Roman" w:hAnsi="Times New Roman" w:cs="Times New Roman"/>
          <w:sz w:val="24"/>
          <w:szCs w:val="24"/>
        </w:rPr>
      </w:pPr>
    </w:p>
    <w:p w:rsidR="00BA0E3A" w:rsidRPr="00655237" w:rsidRDefault="00BA0E3A" w:rsidP="00BA0E3A"/>
    <w:p w:rsidR="00F77C8D" w:rsidRPr="00A5298A" w:rsidRDefault="0007463C" w:rsidP="00F77C8D">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7. Prognosis</w:t>
      </w:r>
      <w:r w:rsidR="00F77C8D" w:rsidRPr="00A5298A">
        <w:rPr>
          <w:rFonts w:ascii="Times New Roman" w:hAnsi="Times New Roman" w:cs="Times New Roman"/>
          <w:b/>
          <w:sz w:val="24"/>
        </w:rPr>
        <w:t xml:space="preserve"> </w:t>
      </w:r>
      <w:r w:rsidR="00F77C8D">
        <w:rPr>
          <w:rFonts w:ascii="Times New Roman" w:hAnsi="Times New Roman" w:cs="Times New Roman"/>
          <w:b/>
          <w:sz w:val="24"/>
        </w:rPr>
        <w:t>for</w:t>
      </w:r>
      <w:r w:rsidR="00F77C8D" w:rsidRPr="00A5298A">
        <w:rPr>
          <w:rFonts w:ascii="Times New Roman" w:hAnsi="Times New Roman" w:cs="Times New Roman"/>
          <w:b/>
          <w:sz w:val="24"/>
        </w:rPr>
        <w:t xml:space="preserve"> the future in the area of legalisation of proceeds </w:t>
      </w:r>
      <w:r w:rsidR="00F77C8D">
        <w:rPr>
          <w:rFonts w:ascii="Times New Roman" w:hAnsi="Times New Roman" w:cs="Times New Roman"/>
          <w:b/>
          <w:sz w:val="24"/>
        </w:rPr>
        <w:t>from</w:t>
      </w:r>
      <w:r w:rsidR="00F77C8D" w:rsidRPr="00A5298A">
        <w:rPr>
          <w:rFonts w:ascii="Times New Roman" w:hAnsi="Times New Roman" w:cs="Times New Roman"/>
          <w:b/>
          <w:sz w:val="24"/>
        </w:rPr>
        <w:t xml:space="preserve"> crime and terrorist financing</w:t>
      </w:r>
    </w:p>
    <w:p w:rsidR="00F77C8D" w:rsidRPr="00A5298A" w:rsidRDefault="00F77C8D" w:rsidP="00F77C8D">
      <w:pPr>
        <w:spacing w:after="0" w:line="240" w:lineRule="auto"/>
        <w:rPr>
          <w:rFonts w:ascii="Times New Roman" w:hAnsi="Times New Roman" w:cs="Times New Roman"/>
          <w:sz w:val="24"/>
        </w:rPr>
      </w:pPr>
    </w:p>
    <w:p w:rsidR="00F77C8D" w:rsidRDefault="00F77C8D" w:rsidP="00F77C8D">
      <w:pPr>
        <w:pStyle w:val="Odsekzoznamu"/>
        <w:numPr>
          <w:ilvl w:val="0"/>
          <w:numId w:val="9"/>
        </w:numPr>
        <w:spacing w:after="0" w:line="240" w:lineRule="auto"/>
        <w:contextualSpacing/>
        <w:jc w:val="both"/>
        <w:rPr>
          <w:rFonts w:ascii="Times New Roman" w:hAnsi="Times New Roman" w:cs="Times New Roman"/>
          <w:sz w:val="24"/>
        </w:rPr>
      </w:pPr>
      <w:r>
        <w:rPr>
          <w:rFonts w:ascii="Times New Roman" w:hAnsi="Times New Roman" w:cs="Times New Roman"/>
          <w:sz w:val="24"/>
        </w:rPr>
        <w:t>Misuse of the institute of payment institutions, particularly its subordinate organizational units and intermediaries providing its services, establishment of such units for purposes of concealment of the financial flows and legalisation.</w:t>
      </w:r>
    </w:p>
    <w:p w:rsidR="00F77C8D" w:rsidRDefault="00F77C8D" w:rsidP="00F77C8D">
      <w:pPr>
        <w:pStyle w:val="Odsekzoznamu"/>
        <w:numPr>
          <w:ilvl w:val="0"/>
          <w:numId w:val="9"/>
        </w:numPr>
        <w:spacing w:after="0" w:line="240" w:lineRule="auto"/>
        <w:contextualSpacing/>
        <w:jc w:val="both"/>
        <w:rPr>
          <w:rFonts w:ascii="Times New Roman" w:hAnsi="Times New Roman" w:cs="Times New Roman"/>
          <w:sz w:val="24"/>
        </w:rPr>
      </w:pPr>
      <w:r>
        <w:rPr>
          <w:rFonts w:ascii="Times New Roman" w:hAnsi="Times New Roman" w:cs="Times New Roman"/>
          <w:sz w:val="24"/>
        </w:rPr>
        <w:t>Expansion of foreign payment institutions on the territory of the Slovak Republic for purpose of the creation of own payment systems controlled by them.</w:t>
      </w:r>
    </w:p>
    <w:p w:rsidR="00F77C8D" w:rsidRDefault="00F77C8D" w:rsidP="00F77C8D">
      <w:pPr>
        <w:pStyle w:val="Odsekzoznamu"/>
        <w:numPr>
          <w:ilvl w:val="0"/>
          <w:numId w:val="9"/>
        </w:numPr>
        <w:spacing w:after="0" w:line="240" w:lineRule="auto"/>
        <w:contextualSpacing/>
        <w:jc w:val="both"/>
        <w:rPr>
          <w:rFonts w:ascii="Times New Roman" w:hAnsi="Times New Roman" w:cs="Times New Roman"/>
          <w:sz w:val="24"/>
        </w:rPr>
      </w:pPr>
      <w:r>
        <w:rPr>
          <w:rFonts w:ascii="Times New Roman" w:hAnsi="Times New Roman" w:cs="Times New Roman"/>
          <w:sz w:val="24"/>
        </w:rPr>
        <w:t>Creation of dedicated companies and profiling of experts performing concealment and placement of proceeds derived from criminal activities and legalisation of such proceeds per order.</w:t>
      </w:r>
    </w:p>
    <w:p w:rsidR="00F77C8D" w:rsidRDefault="00F77C8D" w:rsidP="00F77C8D">
      <w:pPr>
        <w:pStyle w:val="Odsekzoznamu"/>
        <w:numPr>
          <w:ilvl w:val="0"/>
          <w:numId w:val="9"/>
        </w:numPr>
        <w:spacing w:after="0" w:line="240" w:lineRule="auto"/>
        <w:contextualSpacing/>
        <w:jc w:val="both"/>
        <w:rPr>
          <w:rFonts w:ascii="Times New Roman" w:hAnsi="Times New Roman" w:cs="Times New Roman"/>
          <w:sz w:val="24"/>
        </w:rPr>
      </w:pPr>
      <w:r>
        <w:rPr>
          <w:rFonts w:ascii="Times New Roman" w:hAnsi="Times New Roman" w:cs="Times New Roman"/>
          <w:sz w:val="24"/>
        </w:rPr>
        <w:t>Investments of subjects performing criminal activities, mainly in the area of real estate, securities, high value goods and acquisition of business shares.</w:t>
      </w:r>
    </w:p>
    <w:p w:rsidR="00F77C8D" w:rsidRDefault="00F77C8D" w:rsidP="00F77C8D">
      <w:pPr>
        <w:pStyle w:val="Odsekzoznamu"/>
        <w:numPr>
          <w:ilvl w:val="0"/>
          <w:numId w:val="9"/>
        </w:num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Higher level of organization and flexibility of offenders at the international level within placement of proceeds derived from internet frauds and phishing. In the cases of organized crime groups, often there are national minority communities, with real assumption related to the mutual cooperation of the several respective groups with different nationality. </w:t>
      </w:r>
    </w:p>
    <w:p w:rsidR="00F77C8D" w:rsidRDefault="00F77C8D" w:rsidP="00F77C8D">
      <w:pPr>
        <w:pStyle w:val="Odsekzoznamu"/>
        <w:numPr>
          <w:ilvl w:val="0"/>
          <w:numId w:val="9"/>
        </w:num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Increase in the level of organization of offenders of motor vehicles thefts, modification of the identification marks of motor vehicles and consequently their legalisation through false documents in the third countries. </w:t>
      </w:r>
    </w:p>
    <w:p w:rsidR="00F77C8D" w:rsidRDefault="00F77C8D" w:rsidP="00F77C8D">
      <w:pPr>
        <w:pStyle w:val="Odsekzoznamu"/>
        <w:numPr>
          <w:ilvl w:val="0"/>
          <w:numId w:val="9"/>
        </w:numPr>
        <w:spacing w:after="0" w:line="240" w:lineRule="auto"/>
        <w:contextualSpacing/>
        <w:jc w:val="both"/>
        <w:rPr>
          <w:rFonts w:ascii="Times New Roman" w:hAnsi="Times New Roman" w:cs="Times New Roman"/>
          <w:sz w:val="24"/>
        </w:rPr>
      </w:pPr>
      <w:r>
        <w:rPr>
          <w:rFonts w:ascii="Times New Roman" w:hAnsi="Times New Roman" w:cs="Times New Roman"/>
          <w:sz w:val="24"/>
        </w:rPr>
        <w:t>Expansion of the usage of domestic and foreign bank accounts for on-line gambling.</w:t>
      </w:r>
    </w:p>
    <w:p w:rsidR="00F77C8D" w:rsidRDefault="00F77C8D" w:rsidP="00F77C8D">
      <w:pPr>
        <w:pStyle w:val="Odsekzoznamu"/>
        <w:numPr>
          <w:ilvl w:val="0"/>
          <w:numId w:val="9"/>
        </w:numPr>
        <w:spacing w:after="0" w:line="240" w:lineRule="auto"/>
        <w:contextualSpacing/>
        <w:jc w:val="both"/>
        <w:rPr>
          <w:rFonts w:ascii="Times New Roman" w:hAnsi="Times New Roman" w:cs="Times New Roman"/>
          <w:sz w:val="24"/>
        </w:rPr>
      </w:pPr>
      <w:r>
        <w:rPr>
          <w:rFonts w:ascii="Times New Roman" w:hAnsi="Times New Roman" w:cs="Times New Roman"/>
          <w:sz w:val="24"/>
        </w:rPr>
        <w:t>Endeavours to expand high-level gambling in the territory of the Slovak Republic.</w:t>
      </w:r>
    </w:p>
    <w:p w:rsidR="00F77C8D" w:rsidRDefault="00F77C8D" w:rsidP="00F77C8D">
      <w:pPr>
        <w:pStyle w:val="Odsekzoznamu"/>
        <w:numPr>
          <w:ilvl w:val="0"/>
          <w:numId w:val="9"/>
        </w:num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Progressive transfer of the executive of human trafficking, drug smuggling, weapon trafficking and trafficking of stolen motor vehicles from natural persons to legal entities in an effort to implement proceeds from the respective criminal activities to the legal business environment, as well as an endeavour to smoothen the realization of monetary transactions. </w:t>
      </w:r>
    </w:p>
    <w:p w:rsidR="00F77C8D" w:rsidRDefault="00F77C8D" w:rsidP="00F77C8D">
      <w:pPr>
        <w:pStyle w:val="Odsekzoznamu"/>
        <w:numPr>
          <w:ilvl w:val="0"/>
          <w:numId w:val="9"/>
        </w:num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Progressive, as well as unconscious integration of the non-financial sector in the process of legalisation, particularly notaries, lawyers, auditors and real estate agents. </w:t>
      </w:r>
    </w:p>
    <w:p w:rsidR="00F77C8D" w:rsidRDefault="00F77C8D" w:rsidP="00F77C8D">
      <w:pPr>
        <w:pStyle w:val="Odsekzoznamu"/>
        <w:numPr>
          <w:ilvl w:val="0"/>
          <w:numId w:val="9"/>
        </w:num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Exploitation of and active implementation of tax advisors, accountants in the phase of placement, conversion and integration of proceed from crime into the legal economy via bank accounts, or via bank accounts of prepared legal entities. </w:t>
      </w:r>
    </w:p>
    <w:p w:rsidR="00F77C8D" w:rsidRDefault="00F77C8D" w:rsidP="00F77C8D">
      <w:pPr>
        <w:pStyle w:val="Odsekzoznamu"/>
        <w:numPr>
          <w:ilvl w:val="0"/>
          <w:numId w:val="9"/>
        </w:num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Enhancing the number of established non-profit organizations, non-investment funds and foundations together with the enhanced number of foreign financial transactions performed through these organizations.  </w:t>
      </w:r>
    </w:p>
    <w:p w:rsidR="00F77C8D" w:rsidRDefault="00F77C8D" w:rsidP="00F77C8D">
      <w:pPr>
        <w:pStyle w:val="Odsekzoznamu"/>
        <w:numPr>
          <w:ilvl w:val="0"/>
          <w:numId w:val="9"/>
        </w:num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Placement of proceeds from criminal activities on life insurance´s accounts and on other similar saving products other than those provided by banks. </w:t>
      </w:r>
    </w:p>
    <w:p w:rsidR="00F77C8D" w:rsidRDefault="00F77C8D" w:rsidP="00F77C8D">
      <w:pPr>
        <w:pStyle w:val="Odsekzoznamu"/>
        <w:numPr>
          <w:ilvl w:val="0"/>
          <w:numId w:val="9"/>
        </w:numPr>
        <w:spacing w:after="0" w:line="240" w:lineRule="auto"/>
        <w:contextualSpacing/>
        <w:jc w:val="both"/>
        <w:rPr>
          <w:rFonts w:ascii="Times New Roman" w:hAnsi="Times New Roman" w:cs="Times New Roman"/>
          <w:sz w:val="24"/>
        </w:rPr>
      </w:pPr>
      <w:r>
        <w:rPr>
          <w:rFonts w:ascii="Times New Roman" w:hAnsi="Times New Roman" w:cs="Times New Roman"/>
          <w:sz w:val="24"/>
        </w:rPr>
        <w:t>Persistent growth of the number of transactions performed in favour of legal entities seated in tax heaven countries, or legal entities registered in the jurisdiction within the EU, but proprietary linked with legal entities seated in off-shore countries.</w:t>
      </w:r>
    </w:p>
    <w:p w:rsidR="00F77C8D" w:rsidRDefault="00F77C8D" w:rsidP="00F77C8D">
      <w:pPr>
        <w:pStyle w:val="Odsekzoznamu"/>
        <w:numPr>
          <w:ilvl w:val="0"/>
          <w:numId w:val="9"/>
        </w:numPr>
        <w:spacing w:after="0" w:line="240" w:lineRule="auto"/>
        <w:contextualSpacing/>
        <w:jc w:val="both"/>
        <w:rPr>
          <w:rFonts w:ascii="Times New Roman" w:hAnsi="Times New Roman" w:cs="Times New Roman"/>
          <w:sz w:val="24"/>
        </w:rPr>
      </w:pPr>
      <w:r>
        <w:rPr>
          <w:rFonts w:ascii="Times New Roman" w:hAnsi="Times New Roman" w:cs="Times New Roman"/>
          <w:sz w:val="24"/>
        </w:rPr>
        <w:t>Assumption of more frequent presence of transactions, where the payments will be performed via virtual digital currency – bitcoin. Currently o</w:t>
      </w:r>
      <w:r w:rsidRPr="00CA4B91">
        <w:rPr>
          <w:rFonts w:ascii="Times New Roman" w:hAnsi="Times New Roman" w:cs="Times New Roman"/>
          <w:sz w:val="24"/>
        </w:rPr>
        <w:t xml:space="preserve">n the territory of the Slovak Republic it is possible to use bitcoins for purpose of purchase of goods and services, </w:t>
      </w:r>
      <w:r>
        <w:rPr>
          <w:rFonts w:ascii="Times New Roman" w:hAnsi="Times New Roman" w:cs="Times New Roman"/>
          <w:sz w:val="24"/>
        </w:rPr>
        <w:t>but</w:t>
      </w:r>
      <w:r w:rsidRPr="00CA4B91">
        <w:rPr>
          <w:rFonts w:ascii="Times New Roman" w:hAnsi="Times New Roman" w:cs="Times New Roman"/>
          <w:sz w:val="24"/>
        </w:rPr>
        <w:t xml:space="preserve"> bitcoins might be changed for other currencies, for instance US dollars or euros. Bitcoin works as distribut</w:t>
      </w:r>
      <w:r>
        <w:rPr>
          <w:rFonts w:ascii="Times New Roman" w:hAnsi="Times New Roman" w:cs="Times New Roman"/>
          <w:sz w:val="24"/>
        </w:rPr>
        <w:t>ion</w:t>
      </w:r>
      <w:r w:rsidRPr="00CA4B91">
        <w:rPr>
          <w:rFonts w:ascii="Times New Roman" w:hAnsi="Times New Roman" w:cs="Times New Roman"/>
          <w:sz w:val="24"/>
        </w:rPr>
        <w:t xml:space="preserve"> network, where transactions are spread among individual applications installed in the user´s computers. There </w:t>
      </w:r>
      <w:r>
        <w:rPr>
          <w:rFonts w:ascii="Times New Roman" w:hAnsi="Times New Roman" w:cs="Times New Roman"/>
          <w:sz w:val="24"/>
        </w:rPr>
        <w:t xml:space="preserve">is no </w:t>
      </w:r>
      <w:r w:rsidRPr="00CA4B91">
        <w:rPr>
          <w:rFonts w:ascii="Times New Roman" w:hAnsi="Times New Roman" w:cs="Times New Roman"/>
          <w:sz w:val="24"/>
        </w:rPr>
        <w:t>bank, nor other institution between</w:t>
      </w:r>
      <w:r>
        <w:rPr>
          <w:rFonts w:ascii="Times New Roman" w:hAnsi="Times New Roman" w:cs="Times New Roman"/>
          <w:sz w:val="24"/>
        </w:rPr>
        <w:t xml:space="preserve"> the</w:t>
      </w:r>
      <w:r w:rsidRPr="00CA4B91">
        <w:rPr>
          <w:rFonts w:ascii="Times New Roman" w:hAnsi="Times New Roman" w:cs="Times New Roman"/>
          <w:sz w:val="24"/>
        </w:rPr>
        <w:t xml:space="preserve"> beneficiaries and</w:t>
      </w:r>
      <w:r>
        <w:rPr>
          <w:rFonts w:ascii="Times New Roman" w:hAnsi="Times New Roman" w:cs="Times New Roman"/>
          <w:sz w:val="24"/>
        </w:rPr>
        <w:t xml:space="preserve"> the</w:t>
      </w:r>
      <w:r w:rsidRPr="00CA4B91">
        <w:rPr>
          <w:rFonts w:ascii="Times New Roman" w:hAnsi="Times New Roman" w:cs="Times New Roman"/>
          <w:sz w:val="24"/>
        </w:rPr>
        <w:t xml:space="preserve"> remitters. </w:t>
      </w:r>
    </w:p>
    <w:p w:rsidR="00052EC7" w:rsidRDefault="00052EC7" w:rsidP="00052EC7">
      <w:pPr>
        <w:spacing w:after="0" w:line="240" w:lineRule="auto"/>
        <w:contextualSpacing/>
        <w:jc w:val="both"/>
        <w:rPr>
          <w:rFonts w:ascii="Times New Roman" w:hAnsi="Times New Roman" w:cs="Times New Roman"/>
          <w:sz w:val="24"/>
        </w:rPr>
      </w:pPr>
    </w:p>
    <w:p w:rsidR="00052EC7" w:rsidRPr="00052EC7" w:rsidRDefault="00052EC7" w:rsidP="00052EC7">
      <w:pPr>
        <w:spacing w:after="0" w:line="240" w:lineRule="auto"/>
        <w:contextualSpacing/>
        <w:jc w:val="both"/>
        <w:rPr>
          <w:rFonts w:ascii="Times New Roman" w:hAnsi="Times New Roman" w:cs="Times New Roman"/>
          <w:sz w:val="24"/>
        </w:rPr>
      </w:pPr>
    </w:p>
    <w:p w:rsidR="00F77C8D" w:rsidRPr="001D0F02" w:rsidRDefault="00F77C8D" w:rsidP="00F77C8D">
      <w:pPr>
        <w:spacing w:after="0" w:line="240" w:lineRule="auto"/>
        <w:jc w:val="center"/>
        <w:rPr>
          <w:rFonts w:ascii="Times New Roman" w:hAnsi="Times New Roman" w:cs="Times New Roman"/>
          <w:b/>
          <w:sz w:val="24"/>
        </w:rPr>
      </w:pPr>
      <w:r w:rsidRPr="001D0F02">
        <w:rPr>
          <w:rFonts w:ascii="Times New Roman" w:hAnsi="Times New Roman" w:cs="Times New Roman"/>
          <w:b/>
          <w:sz w:val="24"/>
        </w:rPr>
        <w:lastRenderedPageBreak/>
        <w:t xml:space="preserve">8. </w:t>
      </w:r>
      <w:r>
        <w:rPr>
          <w:rFonts w:ascii="Times New Roman" w:hAnsi="Times New Roman" w:cs="Times New Roman"/>
          <w:b/>
          <w:sz w:val="24"/>
        </w:rPr>
        <w:t>Evaluation</w:t>
      </w:r>
      <w:r w:rsidRPr="001D0F02">
        <w:rPr>
          <w:rFonts w:ascii="Times New Roman" w:hAnsi="Times New Roman" w:cs="Times New Roman"/>
          <w:b/>
          <w:sz w:val="24"/>
        </w:rPr>
        <w:t xml:space="preserve"> of cooperation with the national counterparts</w:t>
      </w:r>
    </w:p>
    <w:p w:rsidR="00F77C8D" w:rsidRDefault="00F77C8D" w:rsidP="00F77C8D">
      <w:pPr>
        <w:spacing w:after="0" w:line="240" w:lineRule="auto"/>
        <w:jc w:val="both"/>
        <w:rPr>
          <w:rFonts w:ascii="Times New Roman" w:hAnsi="Times New Roman" w:cs="Times New Roman"/>
          <w:sz w:val="24"/>
        </w:rPr>
      </w:pP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 xml:space="preserve">     Representatives of FSJ </w:t>
      </w:r>
      <w:r w:rsidR="00E857E2">
        <w:rPr>
          <w:rFonts w:ascii="Times New Roman" w:hAnsi="Times New Roman" w:cs="Times New Roman"/>
          <w:sz w:val="24"/>
        </w:rPr>
        <w:t>i</w:t>
      </w:r>
      <w:r>
        <w:rPr>
          <w:rFonts w:ascii="Times New Roman" w:hAnsi="Times New Roman" w:cs="Times New Roman"/>
          <w:sz w:val="24"/>
        </w:rPr>
        <w:t xml:space="preserve">n cooperation with the Slovak Prosecutors Office attended a work meeting in order to unify the interpretation of some disputatious provisions of the Act on the proof of origin of property so that collected material would be a qualitatively capable basis of initiative, on the which basis a prosecutor would submit a proposal to initiate the relevant proceeding and by which he will seek a decision declaring that an asset was purchased by illegal incomes. </w:t>
      </w:r>
    </w:p>
    <w:p w:rsidR="00F77C8D" w:rsidRDefault="00F77C8D" w:rsidP="00F77C8D">
      <w:pPr>
        <w:spacing w:after="0" w:line="240" w:lineRule="auto"/>
        <w:jc w:val="both"/>
        <w:rPr>
          <w:rFonts w:ascii="Times New Roman" w:hAnsi="Times New Roman" w:cs="Times New Roman"/>
          <w:sz w:val="24"/>
        </w:rPr>
      </w:pPr>
    </w:p>
    <w:p w:rsidR="00F77C8D" w:rsidRDefault="00F77C8D" w:rsidP="00F77C8D">
      <w:pPr>
        <w:tabs>
          <w:tab w:val="left" w:pos="1425"/>
        </w:tabs>
        <w:spacing w:after="0" w:line="240" w:lineRule="auto"/>
        <w:jc w:val="both"/>
        <w:rPr>
          <w:rFonts w:ascii="Times New Roman" w:hAnsi="Times New Roman" w:cs="Times New Roman"/>
          <w:sz w:val="24"/>
        </w:rPr>
      </w:pPr>
      <w:r>
        <w:rPr>
          <w:rFonts w:ascii="Times New Roman" w:hAnsi="Times New Roman" w:cs="Times New Roman"/>
          <w:sz w:val="24"/>
        </w:rPr>
        <w:t xml:space="preserve">     FSJ very intensively cooperates with the Financial Directorate of the Slovak Republic, particularly with the tax and customs section. As significant, for further cooperation, should be considered a work meeting which took place in March 2013 and where the form of information submitted to the Financial Directorate of the Slovak Republic has been determined. As well as indicators of unusual character were improved.  In June 2013 the  representatives of the Financial Directorate of the Slovak Republic performed training for members of FSJ in the FSJ premises related to new trends in committing tax frauds, particularly criminal activities committed in connection with VAT. </w:t>
      </w:r>
    </w:p>
    <w:p w:rsidR="00F77C8D" w:rsidRDefault="00F77C8D" w:rsidP="00F77C8D">
      <w:pPr>
        <w:tabs>
          <w:tab w:val="left" w:pos="1425"/>
        </w:tabs>
        <w:spacing w:after="0" w:line="240" w:lineRule="auto"/>
        <w:jc w:val="both"/>
        <w:rPr>
          <w:rFonts w:ascii="Times New Roman" w:hAnsi="Times New Roman" w:cs="Times New Roman"/>
          <w:sz w:val="24"/>
        </w:rPr>
      </w:pP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 xml:space="preserve">     For th</w:t>
      </w:r>
      <w:r w:rsidR="00E857E2">
        <w:rPr>
          <w:rFonts w:ascii="Times New Roman" w:hAnsi="Times New Roman" w:cs="Times New Roman"/>
          <w:sz w:val="24"/>
        </w:rPr>
        <w:t>e purpose of raising efficiency</w:t>
      </w:r>
      <w:r>
        <w:rPr>
          <w:rFonts w:ascii="Times New Roman" w:hAnsi="Times New Roman" w:cs="Times New Roman"/>
          <w:sz w:val="24"/>
        </w:rPr>
        <w:t xml:space="preserve"> and quality of mutual cooperation and information sharing between FSJ and the National Bank of Slovakia in the area of oversight of compliance with obligations imposed on obliged entities by </w:t>
      </w:r>
      <w:r w:rsidR="00E857E2">
        <w:rPr>
          <w:rFonts w:ascii="Times New Roman" w:hAnsi="Times New Roman" w:cs="Times New Roman"/>
          <w:sz w:val="24"/>
          <w:szCs w:val="24"/>
        </w:rPr>
        <w:t>AML/CFT Law</w:t>
      </w:r>
      <w:r>
        <w:rPr>
          <w:rFonts w:ascii="Times New Roman" w:hAnsi="Times New Roman" w:cs="Times New Roman"/>
          <w:sz w:val="24"/>
        </w:rPr>
        <w:t>, the Cooperation agreement between the National Bank of Slovakia and the Ministry of Interior of the Slovak Republic has been signed on 26</w:t>
      </w:r>
      <w:r w:rsidRPr="00E61BC5">
        <w:rPr>
          <w:rFonts w:ascii="Times New Roman" w:hAnsi="Times New Roman" w:cs="Times New Roman"/>
          <w:sz w:val="24"/>
          <w:vertAlign w:val="superscript"/>
        </w:rPr>
        <w:t>th</w:t>
      </w:r>
      <w:r>
        <w:rPr>
          <w:rFonts w:ascii="Times New Roman" w:hAnsi="Times New Roman" w:cs="Times New Roman"/>
          <w:sz w:val="24"/>
        </w:rPr>
        <w:t xml:space="preserve"> of November 2013. Guarantor of the respective agreement is FSJ. </w:t>
      </w:r>
    </w:p>
    <w:p w:rsidR="00F77C8D" w:rsidRDefault="00F77C8D" w:rsidP="00F77C8D">
      <w:pPr>
        <w:spacing w:after="0" w:line="240" w:lineRule="auto"/>
        <w:jc w:val="both"/>
        <w:rPr>
          <w:rFonts w:ascii="Times New Roman" w:hAnsi="Times New Roman" w:cs="Times New Roman"/>
          <w:sz w:val="24"/>
        </w:rPr>
      </w:pP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 xml:space="preserve">     FSJ realized one meeting with representatives of the Social Insurance Agency in Slovakia for the purpose of detection of incomes of persons audited according to the Act on the proof of origin of property. As a disputed point appears to be detection of incomes in the past (more than twenty years), as well as cases when the audited person was a self-employer or receiver of sick-benefits, old-age benefits, or other insurance. On this meeting the process of clarification on the terms “income”, “gross income” and with that the related term “base of assess” was agreed upon. </w:t>
      </w:r>
    </w:p>
    <w:p w:rsidR="00F77C8D" w:rsidRDefault="00F77C8D" w:rsidP="00F77C8D">
      <w:pPr>
        <w:spacing w:after="0" w:line="240" w:lineRule="auto"/>
        <w:jc w:val="both"/>
        <w:rPr>
          <w:rFonts w:ascii="Times New Roman" w:hAnsi="Times New Roman" w:cs="Times New Roman"/>
          <w:sz w:val="24"/>
        </w:rPr>
      </w:pP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 xml:space="preserve">     Representatives of FSJ participated on two meetings of the Slovak Bank Association. The aim of the participation with the representatives of banks responsible for AML</w:t>
      </w:r>
      <w:r w:rsidR="00E61BC5">
        <w:rPr>
          <w:rFonts w:ascii="Times New Roman" w:hAnsi="Times New Roman" w:cs="Times New Roman"/>
          <w:sz w:val="24"/>
        </w:rPr>
        <w:t xml:space="preserve"> (anti money laundering)</w:t>
      </w:r>
      <w:r>
        <w:rPr>
          <w:rFonts w:ascii="Times New Roman" w:hAnsi="Times New Roman" w:cs="Times New Roman"/>
          <w:sz w:val="24"/>
        </w:rPr>
        <w:t xml:space="preserve"> was to discuss several areas related to reporting obligation, realization of general feedback, presentation of new trends and regulation in the area of legalisation of proceeds derived from criminal activities and terrorist financing, shortcomings in sent unusual transaction reports and shortcomings determined within control activities, as well as presumed progress within the legislative area. Object of the meeting was also the issue related to </w:t>
      </w:r>
      <w:r w:rsidR="00E61BC5">
        <w:rPr>
          <w:rFonts w:ascii="Times New Roman" w:hAnsi="Times New Roman" w:cs="Times New Roman"/>
          <w:sz w:val="24"/>
        </w:rPr>
        <w:t xml:space="preserve">Act </w:t>
      </w:r>
      <w:r w:rsidR="00E61BC5" w:rsidRPr="00943284">
        <w:rPr>
          <w:rFonts w:ascii="Times New Roman" w:hAnsi="Times New Roman" w:cs="Times New Roman"/>
        </w:rPr>
        <w:t xml:space="preserve">No.: </w:t>
      </w:r>
      <w:r w:rsidR="00E61BC5">
        <w:rPr>
          <w:rFonts w:ascii="Times New Roman" w:hAnsi="Times New Roman" w:cs="Times New Roman"/>
        </w:rPr>
        <w:t>394</w:t>
      </w:r>
      <w:r w:rsidR="00E61BC5" w:rsidRPr="00943284">
        <w:rPr>
          <w:rFonts w:ascii="Times New Roman" w:hAnsi="Times New Roman" w:cs="Times New Roman"/>
        </w:rPr>
        <w:t>/20</w:t>
      </w:r>
      <w:r w:rsidR="00E61BC5">
        <w:rPr>
          <w:rFonts w:ascii="Times New Roman" w:hAnsi="Times New Roman" w:cs="Times New Roman"/>
        </w:rPr>
        <w:t>12</w:t>
      </w:r>
      <w:r w:rsidR="00E61BC5" w:rsidRPr="00943284">
        <w:rPr>
          <w:rFonts w:ascii="Times New Roman" w:hAnsi="Times New Roman" w:cs="Times New Roman"/>
        </w:rPr>
        <w:t xml:space="preserve"> Coll. </w:t>
      </w:r>
      <w:r>
        <w:rPr>
          <w:rFonts w:ascii="Times New Roman" w:hAnsi="Times New Roman" w:cs="Times New Roman"/>
          <w:sz w:val="24"/>
        </w:rPr>
        <w:t xml:space="preserve">on restriction of payments in cash, as well as the issue related to customer due diligence (particularly ultimate beneficial owner, origin of funds, purpose and intended nature of the business relationship, etc.). </w:t>
      </w:r>
    </w:p>
    <w:p w:rsidR="00F77C8D" w:rsidRDefault="00F77C8D" w:rsidP="00F77C8D">
      <w:pPr>
        <w:spacing w:after="0" w:line="240" w:lineRule="auto"/>
        <w:jc w:val="both"/>
        <w:rPr>
          <w:rFonts w:ascii="Times New Roman" w:hAnsi="Times New Roman" w:cs="Times New Roman"/>
          <w:sz w:val="24"/>
        </w:rPr>
      </w:pP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 xml:space="preserve">     Activities of the Multidiscipline integrated group of experts for combating the legalization of proceeds from crime and terrorist financing (thereinafter referred to as “MISO LP”) which is chaired by the Head of FSJ are very valuable for the purpose of the elimination of legalization of proceeds derived from criminal activities and terrorist financing. Members of the respective group are representatives of the following units and institutions: the National Bank of Slovakia, Ministry of Finance of the Slovak Republic, Financial Directorate of the Slovak Republic, General Prosecutor Office of the Slovak Republic, Ministry of Justice of the </w:t>
      </w:r>
      <w:r>
        <w:rPr>
          <w:rFonts w:ascii="Times New Roman" w:hAnsi="Times New Roman" w:cs="Times New Roman"/>
          <w:sz w:val="24"/>
        </w:rPr>
        <w:lastRenderedPageBreak/>
        <w:t xml:space="preserve">Slovak Republic, Custom Directorate of the Slovak Republic, Anti-Terrorist Unit of the Police Force Presidium, National Anti-Drugs Unit of National Criminal Agency of Police Force Presidium, Bureau of Criminal Police of the Police Force Presidium and Slovak Information Service. MISO LP deals with matters linked to measures against money laundering and terrorist financing. </w:t>
      </w:r>
    </w:p>
    <w:p w:rsidR="00F77C8D" w:rsidRDefault="00F77C8D" w:rsidP="00F77C8D">
      <w:pPr>
        <w:spacing w:after="0" w:line="240" w:lineRule="auto"/>
        <w:jc w:val="both"/>
        <w:rPr>
          <w:rFonts w:ascii="Times New Roman" w:hAnsi="Times New Roman" w:cs="Times New Roman"/>
          <w:sz w:val="24"/>
        </w:rPr>
      </w:pP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 xml:space="preserve">     In 2013 two ordinary MISO LP´s meetings took place (on the 17</w:t>
      </w:r>
      <w:r w:rsidRPr="00365B96">
        <w:rPr>
          <w:rFonts w:ascii="Times New Roman" w:hAnsi="Times New Roman" w:cs="Times New Roman"/>
          <w:sz w:val="24"/>
          <w:vertAlign w:val="superscript"/>
        </w:rPr>
        <w:t>th</w:t>
      </w:r>
      <w:r>
        <w:rPr>
          <w:rFonts w:ascii="Times New Roman" w:hAnsi="Times New Roman" w:cs="Times New Roman"/>
          <w:sz w:val="24"/>
        </w:rPr>
        <w:t xml:space="preserve"> of May and on the 15</w:t>
      </w:r>
      <w:r w:rsidRPr="00365B96">
        <w:rPr>
          <w:rFonts w:ascii="Times New Roman" w:hAnsi="Times New Roman" w:cs="Times New Roman"/>
          <w:sz w:val="24"/>
          <w:vertAlign w:val="superscript"/>
        </w:rPr>
        <w:t>th</w:t>
      </w:r>
      <w:r>
        <w:rPr>
          <w:rFonts w:ascii="Times New Roman" w:hAnsi="Times New Roman" w:cs="Times New Roman"/>
          <w:sz w:val="24"/>
        </w:rPr>
        <w:t xml:space="preserve"> of October). The meetings were focused on the tasks resulting from schedule for feasance of measures accepted within the Strategic plan of fight against money laundering and terrorist financing for the years 2012 – 2016. Each member of MISO LP also participated on the creation of the regular follow up report after the 4</w:t>
      </w:r>
      <w:r w:rsidRPr="003E3457">
        <w:rPr>
          <w:rFonts w:ascii="Times New Roman" w:hAnsi="Times New Roman" w:cs="Times New Roman"/>
          <w:sz w:val="24"/>
          <w:vertAlign w:val="superscript"/>
        </w:rPr>
        <w:t>th</w:t>
      </w:r>
      <w:r>
        <w:rPr>
          <w:rFonts w:ascii="Times New Roman" w:hAnsi="Times New Roman" w:cs="Times New Roman"/>
          <w:sz w:val="24"/>
        </w:rPr>
        <w:t xml:space="preserve"> assessment visit of Council of Europe´s Committee of experts on the evaluation of anti-money laundering measures and terrorist financing MONEYVAL. Consequently, the respective members were informed about outcomes from the 42</w:t>
      </w:r>
      <w:r w:rsidRPr="003E3457">
        <w:rPr>
          <w:rFonts w:ascii="Times New Roman" w:hAnsi="Times New Roman" w:cs="Times New Roman"/>
          <w:sz w:val="24"/>
          <w:vertAlign w:val="superscript"/>
        </w:rPr>
        <w:t>nd</w:t>
      </w:r>
      <w:r>
        <w:rPr>
          <w:rFonts w:ascii="Times New Roman" w:hAnsi="Times New Roman" w:cs="Times New Roman"/>
          <w:sz w:val="24"/>
        </w:rPr>
        <w:t xml:space="preserve"> MONEYVAL plenary meeting. They were also informed about measures addressing deficiencies identified during the evaluation of the progress which the Slovak Republic achieved on the base of recommendations issued by the respective Committee. </w:t>
      </w:r>
    </w:p>
    <w:p w:rsidR="00F77C8D" w:rsidRDefault="00F77C8D" w:rsidP="00F77C8D">
      <w:pPr>
        <w:spacing w:after="0" w:line="240" w:lineRule="auto"/>
        <w:jc w:val="both"/>
        <w:rPr>
          <w:rFonts w:ascii="Times New Roman" w:hAnsi="Times New Roman" w:cs="Times New Roman"/>
          <w:sz w:val="24"/>
        </w:rPr>
      </w:pP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 xml:space="preserve">     On the latest MISO LP´s meeting which took place on the 15</w:t>
      </w:r>
      <w:r w:rsidRPr="005064AD">
        <w:rPr>
          <w:rFonts w:ascii="Times New Roman" w:hAnsi="Times New Roman" w:cs="Times New Roman"/>
          <w:sz w:val="24"/>
          <w:vertAlign w:val="superscript"/>
        </w:rPr>
        <w:t>th</w:t>
      </w:r>
      <w:r>
        <w:rPr>
          <w:rFonts w:ascii="Times New Roman" w:hAnsi="Times New Roman" w:cs="Times New Roman"/>
          <w:sz w:val="24"/>
        </w:rPr>
        <w:t xml:space="preserve"> of October 2013, detailed information regarding National Risk Assessment has been submitted to members of MISO LP. Creation of the National Risk Assessment is an obligatory condition for the 5</w:t>
      </w:r>
      <w:r w:rsidRPr="005064AD">
        <w:rPr>
          <w:rFonts w:ascii="Times New Roman" w:hAnsi="Times New Roman" w:cs="Times New Roman"/>
          <w:sz w:val="24"/>
          <w:vertAlign w:val="superscript"/>
        </w:rPr>
        <w:t>th</w:t>
      </w:r>
      <w:r>
        <w:rPr>
          <w:rFonts w:ascii="Times New Roman" w:hAnsi="Times New Roman" w:cs="Times New Roman"/>
          <w:sz w:val="24"/>
        </w:rPr>
        <w:t xml:space="preserve"> assessment visit performed by Council of Europe´s Committee of experts MONEYVAL; thus this issue will be one of the topics of a MISO LP meeting which will take place in the future. </w:t>
      </w:r>
    </w:p>
    <w:p w:rsidR="00F77C8D" w:rsidRDefault="00F77C8D" w:rsidP="00F77C8D">
      <w:pPr>
        <w:spacing w:after="0" w:line="240" w:lineRule="auto"/>
        <w:jc w:val="both"/>
        <w:rPr>
          <w:rFonts w:ascii="Times New Roman" w:hAnsi="Times New Roman" w:cs="Times New Roman"/>
          <w:sz w:val="24"/>
        </w:rPr>
      </w:pPr>
    </w:p>
    <w:p w:rsidR="00F77C8D" w:rsidRDefault="00F77C8D" w:rsidP="00F77C8D">
      <w:pPr>
        <w:spacing w:after="0" w:line="240" w:lineRule="auto"/>
        <w:jc w:val="both"/>
        <w:rPr>
          <w:rFonts w:ascii="Times New Roman" w:hAnsi="Times New Roman" w:cs="Times New Roman"/>
          <w:sz w:val="24"/>
        </w:rPr>
      </w:pPr>
    </w:p>
    <w:p w:rsidR="00E857E2" w:rsidRDefault="00E857E2" w:rsidP="00F77C8D">
      <w:pPr>
        <w:spacing w:after="0" w:line="240" w:lineRule="auto"/>
        <w:jc w:val="both"/>
        <w:rPr>
          <w:rFonts w:ascii="Times New Roman" w:hAnsi="Times New Roman" w:cs="Times New Roman"/>
          <w:sz w:val="24"/>
        </w:rPr>
      </w:pPr>
    </w:p>
    <w:p w:rsidR="00F77C8D" w:rsidRPr="008E137D" w:rsidRDefault="00F77C8D" w:rsidP="00F77C8D">
      <w:pPr>
        <w:spacing w:after="0" w:line="240" w:lineRule="auto"/>
        <w:jc w:val="center"/>
        <w:rPr>
          <w:rFonts w:ascii="Times New Roman" w:hAnsi="Times New Roman" w:cs="Times New Roman"/>
          <w:b/>
          <w:sz w:val="24"/>
        </w:rPr>
      </w:pPr>
      <w:r w:rsidRPr="008E137D">
        <w:rPr>
          <w:rFonts w:ascii="Times New Roman" w:hAnsi="Times New Roman" w:cs="Times New Roman"/>
          <w:b/>
          <w:sz w:val="24"/>
        </w:rPr>
        <w:t>CONTACT DETAILS</w:t>
      </w:r>
    </w:p>
    <w:p w:rsidR="00F77C8D" w:rsidRDefault="00F77C8D" w:rsidP="00F77C8D">
      <w:pPr>
        <w:spacing w:after="0" w:line="240" w:lineRule="auto"/>
        <w:jc w:val="both"/>
        <w:rPr>
          <w:rFonts w:ascii="Times New Roman" w:hAnsi="Times New Roman" w:cs="Times New Roman"/>
          <w:sz w:val="24"/>
        </w:rPr>
      </w:pPr>
    </w:p>
    <w:p w:rsidR="00F77C8D" w:rsidRDefault="00F77C8D" w:rsidP="00F77C8D">
      <w:pPr>
        <w:spacing w:after="0" w:line="240" w:lineRule="auto"/>
        <w:jc w:val="both"/>
        <w:rPr>
          <w:rFonts w:ascii="Times New Roman" w:hAnsi="Times New Roman" w:cs="Times New Roman"/>
          <w:b/>
          <w:sz w:val="24"/>
        </w:rPr>
      </w:pPr>
      <w:r w:rsidRPr="008E137D">
        <w:rPr>
          <w:rFonts w:ascii="Times New Roman" w:hAnsi="Times New Roman" w:cs="Times New Roman"/>
          <w:b/>
          <w:sz w:val="24"/>
        </w:rPr>
        <w:t>ADDRESS</w:t>
      </w:r>
    </w:p>
    <w:p w:rsidR="00F77C8D" w:rsidRPr="008E137D" w:rsidRDefault="00F77C8D" w:rsidP="00F77C8D">
      <w:pPr>
        <w:spacing w:after="0" w:line="240" w:lineRule="auto"/>
        <w:jc w:val="both"/>
        <w:rPr>
          <w:rFonts w:ascii="Times New Roman" w:hAnsi="Times New Roman" w:cs="Times New Roman"/>
          <w:b/>
          <w:sz w:val="24"/>
        </w:rPr>
      </w:pP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Ministry of Interior of the Slovak Republic</w:t>
      </w: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Police Force Presidium</w:t>
      </w: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National Criminal Agency</w:t>
      </w: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Financial Intelligence Unit</w:t>
      </w: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Pribinova 2</w:t>
      </w: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812 72 Bratislava</w:t>
      </w:r>
    </w:p>
    <w:p w:rsidR="00F77C8D" w:rsidRDefault="00F77C8D" w:rsidP="00F77C8D">
      <w:pPr>
        <w:spacing w:after="0" w:line="240" w:lineRule="auto"/>
        <w:jc w:val="both"/>
        <w:rPr>
          <w:rFonts w:ascii="Times New Roman" w:hAnsi="Times New Roman" w:cs="Times New Roman"/>
          <w:sz w:val="24"/>
        </w:rPr>
      </w:pPr>
    </w:p>
    <w:p w:rsidR="00F77C8D" w:rsidRDefault="00F77C8D" w:rsidP="00F77C8D">
      <w:pPr>
        <w:spacing w:after="0" w:line="240" w:lineRule="auto"/>
        <w:jc w:val="both"/>
        <w:rPr>
          <w:rFonts w:ascii="Times New Roman" w:hAnsi="Times New Roman" w:cs="Times New Roman"/>
          <w:b/>
          <w:sz w:val="24"/>
        </w:rPr>
      </w:pPr>
      <w:r w:rsidRPr="008E137D">
        <w:rPr>
          <w:rFonts w:ascii="Times New Roman" w:hAnsi="Times New Roman" w:cs="Times New Roman"/>
          <w:b/>
          <w:sz w:val="24"/>
        </w:rPr>
        <w:t>INTERNET</w:t>
      </w:r>
    </w:p>
    <w:p w:rsidR="00F77C8D" w:rsidRDefault="00F77C8D" w:rsidP="00F77C8D">
      <w:pPr>
        <w:spacing w:after="0" w:line="240" w:lineRule="auto"/>
        <w:jc w:val="both"/>
        <w:rPr>
          <w:rFonts w:ascii="Times New Roman" w:hAnsi="Times New Roman" w:cs="Times New Roman"/>
          <w:sz w:val="24"/>
        </w:rPr>
      </w:pP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 xml:space="preserve">Web: </w:t>
      </w:r>
      <w:hyperlink r:id="rId19" w:history="1">
        <w:r w:rsidRPr="00526C87">
          <w:rPr>
            <w:rStyle w:val="Hypertextovprepojenie"/>
            <w:rFonts w:ascii="Times New Roman" w:hAnsi="Times New Roman" w:cs="Times New Roman"/>
            <w:sz w:val="24"/>
          </w:rPr>
          <w:t>www.minv.sk/?financna-policia</w:t>
        </w:r>
      </w:hyperlink>
    </w:p>
    <w:p w:rsidR="00F77C8D" w:rsidRDefault="00522377" w:rsidP="00F77C8D">
      <w:pPr>
        <w:spacing w:after="0" w:line="240" w:lineRule="auto"/>
        <w:jc w:val="both"/>
        <w:rPr>
          <w:rFonts w:ascii="Times New Roman" w:hAnsi="Times New Roman" w:cs="Times New Roman"/>
          <w:sz w:val="24"/>
        </w:rPr>
      </w:pPr>
      <w:r>
        <w:rPr>
          <w:rFonts w:ascii="Times New Roman" w:hAnsi="Times New Roman" w:cs="Times New Roman"/>
          <w:sz w:val="24"/>
        </w:rPr>
        <w:t>E-mail</w:t>
      </w:r>
      <w:r w:rsidR="00F77C8D">
        <w:rPr>
          <w:rFonts w:ascii="Times New Roman" w:hAnsi="Times New Roman" w:cs="Times New Roman"/>
          <w:sz w:val="24"/>
        </w:rPr>
        <w:t xml:space="preserve">: </w:t>
      </w:r>
      <w:hyperlink r:id="rId20" w:history="1">
        <w:r w:rsidR="00F77C8D" w:rsidRPr="00526C87">
          <w:rPr>
            <w:rStyle w:val="Hypertextovprepojenie"/>
            <w:rFonts w:ascii="Times New Roman" w:hAnsi="Times New Roman" w:cs="Times New Roman"/>
            <w:sz w:val="24"/>
          </w:rPr>
          <w:t>sjfpsek@minv.sk</w:t>
        </w:r>
      </w:hyperlink>
    </w:p>
    <w:p w:rsidR="00F77C8D" w:rsidRDefault="00F77C8D" w:rsidP="00F77C8D">
      <w:pPr>
        <w:spacing w:after="0" w:line="240" w:lineRule="auto"/>
        <w:jc w:val="both"/>
        <w:rPr>
          <w:rFonts w:ascii="Times New Roman" w:hAnsi="Times New Roman" w:cs="Times New Roman"/>
          <w:sz w:val="24"/>
        </w:rPr>
      </w:pPr>
    </w:p>
    <w:p w:rsidR="00F77C8D" w:rsidRDefault="00522377" w:rsidP="00F77C8D">
      <w:pPr>
        <w:spacing w:after="0" w:line="240" w:lineRule="auto"/>
        <w:jc w:val="both"/>
        <w:rPr>
          <w:rFonts w:ascii="Times New Roman" w:hAnsi="Times New Roman" w:cs="Times New Roman"/>
          <w:b/>
          <w:sz w:val="24"/>
        </w:rPr>
      </w:pPr>
      <w:r>
        <w:rPr>
          <w:rFonts w:ascii="Times New Roman" w:hAnsi="Times New Roman" w:cs="Times New Roman"/>
          <w:b/>
          <w:sz w:val="24"/>
        </w:rPr>
        <w:t>P</w:t>
      </w:r>
      <w:r w:rsidR="00F77C8D" w:rsidRPr="008E137D">
        <w:rPr>
          <w:rFonts w:ascii="Times New Roman" w:hAnsi="Times New Roman" w:cs="Times New Roman"/>
          <w:b/>
          <w:sz w:val="24"/>
        </w:rPr>
        <w:t>HONE / FAX</w:t>
      </w:r>
    </w:p>
    <w:p w:rsidR="00F77C8D" w:rsidRPr="008E137D" w:rsidRDefault="00F77C8D" w:rsidP="00F77C8D">
      <w:pPr>
        <w:spacing w:after="0" w:line="240" w:lineRule="auto"/>
        <w:jc w:val="both"/>
        <w:rPr>
          <w:rFonts w:ascii="Times New Roman" w:hAnsi="Times New Roman" w:cs="Times New Roman"/>
          <w:b/>
          <w:sz w:val="24"/>
        </w:rPr>
      </w:pP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Phone: +421 9610 514 02</w:t>
      </w: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Fax: +421 9610 59 047</w:t>
      </w:r>
    </w:p>
    <w:p w:rsidR="00F77C8D" w:rsidRDefault="00F77C8D" w:rsidP="00F77C8D">
      <w:pPr>
        <w:spacing w:after="0" w:line="240" w:lineRule="auto"/>
        <w:jc w:val="both"/>
        <w:rPr>
          <w:rFonts w:ascii="Times New Roman" w:hAnsi="Times New Roman" w:cs="Times New Roman"/>
          <w:sz w:val="24"/>
        </w:rPr>
      </w:pPr>
    </w:p>
    <w:p w:rsidR="00E857E2" w:rsidRDefault="00E857E2" w:rsidP="00F77C8D">
      <w:pPr>
        <w:spacing w:after="0" w:line="240" w:lineRule="auto"/>
        <w:jc w:val="both"/>
        <w:rPr>
          <w:rFonts w:ascii="Times New Roman" w:hAnsi="Times New Roman" w:cs="Times New Roman"/>
          <w:b/>
          <w:sz w:val="24"/>
        </w:rPr>
      </w:pPr>
    </w:p>
    <w:p w:rsidR="00E857E2" w:rsidRDefault="00E857E2" w:rsidP="00F77C8D">
      <w:pPr>
        <w:spacing w:after="0" w:line="240" w:lineRule="auto"/>
        <w:jc w:val="both"/>
        <w:rPr>
          <w:rFonts w:ascii="Times New Roman" w:hAnsi="Times New Roman" w:cs="Times New Roman"/>
          <w:b/>
          <w:sz w:val="24"/>
        </w:rPr>
      </w:pPr>
    </w:p>
    <w:p w:rsidR="00E857E2" w:rsidRDefault="00E857E2" w:rsidP="00F77C8D">
      <w:pPr>
        <w:spacing w:after="0" w:line="240" w:lineRule="auto"/>
        <w:jc w:val="both"/>
        <w:rPr>
          <w:rFonts w:ascii="Times New Roman" w:hAnsi="Times New Roman" w:cs="Times New Roman"/>
          <w:b/>
          <w:sz w:val="24"/>
        </w:rPr>
      </w:pPr>
    </w:p>
    <w:p w:rsidR="00F77C8D" w:rsidRDefault="00F77C8D" w:rsidP="00F77C8D">
      <w:pPr>
        <w:spacing w:after="0" w:line="240" w:lineRule="auto"/>
        <w:jc w:val="both"/>
        <w:rPr>
          <w:rFonts w:ascii="Times New Roman" w:hAnsi="Times New Roman" w:cs="Times New Roman"/>
          <w:b/>
          <w:sz w:val="24"/>
        </w:rPr>
      </w:pPr>
      <w:r w:rsidRPr="008E137D">
        <w:rPr>
          <w:rFonts w:ascii="Times New Roman" w:hAnsi="Times New Roman" w:cs="Times New Roman"/>
          <w:b/>
          <w:sz w:val="24"/>
        </w:rPr>
        <w:lastRenderedPageBreak/>
        <w:t xml:space="preserve">CONTACT DETAILS FOR REPORTING OF </w:t>
      </w:r>
      <w:r>
        <w:rPr>
          <w:rFonts w:ascii="Times New Roman" w:hAnsi="Times New Roman" w:cs="Times New Roman"/>
          <w:b/>
          <w:sz w:val="24"/>
        </w:rPr>
        <w:t>UNUSUAL TRANSACTION REPORTS</w:t>
      </w:r>
    </w:p>
    <w:p w:rsidR="00F77C8D" w:rsidRPr="008E137D" w:rsidRDefault="00F77C8D" w:rsidP="00F77C8D">
      <w:pPr>
        <w:spacing w:after="0" w:line="240" w:lineRule="auto"/>
        <w:jc w:val="both"/>
        <w:rPr>
          <w:rFonts w:ascii="Times New Roman" w:hAnsi="Times New Roman" w:cs="Times New Roman"/>
          <w:b/>
          <w:sz w:val="24"/>
        </w:rPr>
      </w:pP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Personally: Račianska 45, 832 02 Bratislava</w:t>
      </w: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By post: Finančná spravodajská jednotka, Pribinova 2, 812 72 Bratislava</w:t>
      </w:r>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 xml:space="preserve">Electronically: </w:t>
      </w:r>
      <w:hyperlink r:id="rId21" w:history="1">
        <w:r w:rsidRPr="00526C87">
          <w:rPr>
            <w:rStyle w:val="Hypertextovprepojenie"/>
            <w:rFonts w:ascii="Times New Roman" w:hAnsi="Times New Roman" w:cs="Times New Roman"/>
            <w:sz w:val="24"/>
          </w:rPr>
          <w:t>sjfpnoo@minv.sk</w:t>
        </w:r>
      </w:hyperlink>
    </w:p>
    <w:p w:rsidR="00F77C8D"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Phone: +421 9610 514 19</w:t>
      </w:r>
    </w:p>
    <w:p w:rsidR="00F77C8D" w:rsidRPr="001D0F02" w:rsidRDefault="00F77C8D" w:rsidP="00F77C8D">
      <w:pPr>
        <w:spacing w:after="0" w:line="240" w:lineRule="auto"/>
        <w:jc w:val="both"/>
        <w:rPr>
          <w:rFonts w:ascii="Times New Roman" w:hAnsi="Times New Roman" w:cs="Times New Roman"/>
          <w:sz w:val="24"/>
        </w:rPr>
      </w:pPr>
      <w:r>
        <w:rPr>
          <w:rFonts w:ascii="Times New Roman" w:hAnsi="Times New Roman" w:cs="Times New Roman"/>
          <w:sz w:val="24"/>
        </w:rPr>
        <w:t>Fax: +421 9610 59 047</w:t>
      </w:r>
    </w:p>
    <w:p w:rsidR="00F77C8D" w:rsidRPr="00943284" w:rsidRDefault="00F77C8D"/>
    <w:sectPr w:rsidR="00F77C8D" w:rsidRPr="00943284" w:rsidSect="0006728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222" w:rsidRDefault="00CB5222" w:rsidP="00F52F6D">
      <w:pPr>
        <w:spacing w:after="0" w:line="240" w:lineRule="auto"/>
      </w:pPr>
      <w:r>
        <w:separator/>
      </w:r>
    </w:p>
  </w:endnote>
  <w:endnote w:type="continuationSeparator" w:id="0">
    <w:p w:rsidR="00CB5222" w:rsidRDefault="00CB5222" w:rsidP="00F5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3C" w:rsidRDefault="0007463C" w:rsidP="00F77C8D">
    <w:pPr>
      <w:pStyle w:val="Pta"/>
      <w:jc w:val="right"/>
      <w:rPr>
        <w:rFonts w:ascii="Times New Roman" w:hAnsi="Times New Roman" w:cs="Times New Roman"/>
        <w:sz w:val="24"/>
        <w:szCs w:val="24"/>
      </w:rPr>
    </w:pPr>
    <w:r w:rsidRPr="00E21E4D">
      <w:rPr>
        <w:rFonts w:ascii="Times New Roman" w:hAnsi="Times New Roman" w:cs="Times New Roman"/>
        <w:sz w:val="24"/>
        <w:szCs w:val="24"/>
      </w:rPr>
      <w:fldChar w:fldCharType="begin"/>
    </w:r>
    <w:r w:rsidRPr="00E21E4D">
      <w:rPr>
        <w:rFonts w:ascii="Times New Roman" w:hAnsi="Times New Roman" w:cs="Times New Roman"/>
        <w:sz w:val="24"/>
        <w:szCs w:val="24"/>
      </w:rPr>
      <w:instrText>PAGE   \* MERGEFORMAT</w:instrText>
    </w:r>
    <w:r w:rsidRPr="00E21E4D">
      <w:rPr>
        <w:rFonts w:ascii="Times New Roman" w:hAnsi="Times New Roman" w:cs="Times New Roman"/>
        <w:sz w:val="24"/>
        <w:szCs w:val="24"/>
      </w:rPr>
      <w:fldChar w:fldCharType="separate"/>
    </w:r>
    <w:r w:rsidR="00E7610D">
      <w:rPr>
        <w:rFonts w:ascii="Times New Roman" w:hAnsi="Times New Roman" w:cs="Times New Roman"/>
        <w:noProof/>
        <w:sz w:val="24"/>
        <w:szCs w:val="24"/>
      </w:rPr>
      <w:t>9</w:t>
    </w:r>
    <w:r w:rsidRPr="00E21E4D">
      <w:rPr>
        <w:rFonts w:ascii="Times New Roman" w:hAnsi="Times New Roman" w:cs="Times New Roman"/>
        <w:sz w:val="24"/>
        <w:szCs w:val="24"/>
      </w:rPr>
      <w:fldChar w:fldCharType="end"/>
    </w:r>
  </w:p>
  <w:p w:rsidR="0007463C" w:rsidRPr="00E21E4D" w:rsidRDefault="0007463C" w:rsidP="00F77C8D">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222" w:rsidRDefault="00CB5222" w:rsidP="00F52F6D">
      <w:pPr>
        <w:spacing w:after="0" w:line="240" w:lineRule="auto"/>
      </w:pPr>
      <w:r>
        <w:separator/>
      </w:r>
    </w:p>
  </w:footnote>
  <w:footnote w:type="continuationSeparator" w:id="0">
    <w:p w:rsidR="00CB5222" w:rsidRDefault="00CB5222" w:rsidP="00F52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3C" w:rsidRPr="00703BD1" w:rsidRDefault="0007463C" w:rsidP="00F77C8D">
    <w:pPr>
      <w:pStyle w:val="Hlavika"/>
      <w:tabs>
        <w:tab w:val="clear" w:pos="4536"/>
        <w:tab w:val="clear" w:pos="9072"/>
        <w:tab w:val="left" w:pos="2179"/>
      </w:tabs>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3C" w:rsidRDefault="0007463C" w:rsidP="00337F7F">
    <w:pPr>
      <w:pStyle w:val="Hlavika"/>
      <w:jc w:val="center"/>
      <w:rPr>
        <w:rFonts w:ascii="Times New Roman" w:hAnsi="Times New Roman" w:cs="Times New Roman"/>
        <w:b/>
        <w:sz w:val="28"/>
        <w:szCs w:val="28"/>
      </w:rPr>
    </w:pPr>
    <w:r>
      <w:rPr>
        <w:rFonts w:ascii="Times New Roman" w:hAnsi="Times New Roman" w:cs="Times New Roman"/>
        <w:b/>
        <w:noProof/>
        <w:sz w:val="28"/>
        <w:szCs w:val="28"/>
        <w:lang w:val="sk-SK" w:eastAsia="sk-SK"/>
      </w:rPr>
      <w:drawing>
        <wp:anchor distT="0" distB="0" distL="114300" distR="114300" simplePos="0" relativeHeight="251659264" behindDoc="1" locked="0" layoutInCell="1" allowOverlap="1" wp14:anchorId="04803B75" wp14:editId="4675B073">
          <wp:simplePos x="0" y="0"/>
          <wp:positionH relativeFrom="column">
            <wp:posOffset>155575</wp:posOffset>
          </wp:positionH>
          <wp:positionV relativeFrom="paragraph">
            <wp:posOffset>-313055</wp:posOffset>
          </wp:positionV>
          <wp:extent cx="981075" cy="1133475"/>
          <wp:effectExtent l="0" t="0" r="9525" b="9525"/>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33475"/>
                  </a:xfrm>
                  <a:prstGeom prst="rect">
                    <a:avLst/>
                  </a:prstGeom>
                  <a:noFill/>
                </pic:spPr>
              </pic:pic>
            </a:graphicData>
          </a:graphic>
          <wp14:sizeRelH relativeFrom="page">
            <wp14:pctWidth>0</wp14:pctWidth>
          </wp14:sizeRelH>
          <wp14:sizeRelV relativeFrom="page">
            <wp14:pctHeight>0</wp14:pctHeight>
          </wp14:sizeRelV>
        </wp:anchor>
      </w:drawing>
    </w:r>
  </w:p>
  <w:p w:rsidR="0007463C" w:rsidRPr="00E12EA5" w:rsidRDefault="00522377" w:rsidP="00337F7F">
    <w:pPr>
      <w:pStyle w:val="Hlavika"/>
      <w:jc w:val="center"/>
      <w:rPr>
        <w:rFonts w:ascii="Times New Roman" w:hAnsi="Times New Roman" w:cs="Times New Roman"/>
        <w:b/>
        <w:sz w:val="28"/>
        <w:szCs w:val="28"/>
      </w:rPr>
    </w:pPr>
    <w:r>
      <w:rPr>
        <w:rFonts w:ascii="Times New Roman" w:hAnsi="Times New Roman" w:cs="Times New Roman"/>
        <w:b/>
        <w:sz w:val="28"/>
        <w:szCs w:val="28"/>
      </w:rPr>
      <w:t>Police Force Presidium</w:t>
    </w:r>
  </w:p>
  <w:p w:rsidR="0007463C" w:rsidRPr="0010306F" w:rsidRDefault="0007463C" w:rsidP="00337F7F">
    <w:pPr>
      <w:pStyle w:val="Hlavika"/>
      <w:jc w:val="center"/>
      <w:rPr>
        <w:rFonts w:ascii="Times New Roman" w:hAnsi="Times New Roman" w:cs="Times New Roman"/>
        <w:sz w:val="24"/>
        <w:szCs w:val="24"/>
      </w:rPr>
    </w:pPr>
    <w:r>
      <w:rPr>
        <w:rFonts w:ascii="Times New Roman" w:hAnsi="Times New Roman" w:cs="Times New Roman"/>
        <w:sz w:val="24"/>
        <w:szCs w:val="24"/>
      </w:rPr>
      <w:t>National Criminal Agency</w:t>
    </w:r>
  </w:p>
  <w:p w:rsidR="0007463C" w:rsidRPr="0010306F" w:rsidRDefault="0007463C" w:rsidP="00337F7F">
    <w:pPr>
      <w:pStyle w:val="Hlavika"/>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Financial Intelligence Unit</w:t>
    </w:r>
  </w:p>
  <w:p w:rsidR="0007463C" w:rsidRDefault="0007463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3C" w:rsidRPr="00AF5E2D" w:rsidRDefault="0007463C" w:rsidP="00AF5E2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D48B6"/>
    <w:multiLevelType w:val="hybridMultilevel"/>
    <w:tmpl w:val="489C01B6"/>
    <w:lvl w:ilvl="0" w:tplc="03CAB46E">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D912B68"/>
    <w:multiLevelType w:val="hybridMultilevel"/>
    <w:tmpl w:val="C45EF594"/>
    <w:lvl w:ilvl="0" w:tplc="03CAB46E">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CA63BA"/>
    <w:multiLevelType w:val="hybridMultilevel"/>
    <w:tmpl w:val="32C04834"/>
    <w:lvl w:ilvl="0" w:tplc="BA9224C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A9A4217"/>
    <w:multiLevelType w:val="hybridMultilevel"/>
    <w:tmpl w:val="3E781090"/>
    <w:lvl w:ilvl="0" w:tplc="03CAB46E">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4162616"/>
    <w:multiLevelType w:val="hybridMultilevel"/>
    <w:tmpl w:val="C1101232"/>
    <w:lvl w:ilvl="0" w:tplc="03CAB46E">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B6A161C"/>
    <w:multiLevelType w:val="hybridMultilevel"/>
    <w:tmpl w:val="B966FA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BD94334"/>
    <w:multiLevelType w:val="hybridMultilevel"/>
    <w:tmpl w:val="E58CB52A"/>
    <w:lvl w:ilvl="0" w:tplc="041B0001">
      <w:start w:val="1"/>
      <w:numFmt w:val="bullet"/>
      <w:lvlText w:val=""/>
      <w:lvlJc w:val="left"/>
      <w:pPr>
        <w:ind w:left="1080" w:hanging="360"/>
      </w:pPr>
      <w:rPr>
        <w:rFonts w:ascii="Symbol" w:hAnsi="Symbol" w:cs="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7">
    <w:nsid w:val="407A47C6"/>
    <w:multiLevelType w:val="hybridMultilevel"/>
    <w:tmpl w:val="1158D1EA"/>
    <w:lvl w:ilvl="0" w:tplc="041B0001">
      <w:start w:val="1"/>
      <w:numFmt w:val="bullet"/>
      <w:lvlText w:val=""/>
      <w:lvlJc w:val="left"/>
      <w:pPr>
        <w:ind w:left="928" w:hanging="360"/>
      </w:pPr>
      <w:rPr>
        <w:rFonts w:ascii="Symbol" w:hAnsi="Symbol" w:cs="Symbol" w:hint="default"/>
      </w:rPr>
    </w:lvl>
    <w:lvl w:ilvl="1" w:tplc="041B0001">
      <w:start w:val="1"/>
      <w:numFmt w:val="bullet"/>
      <w:lvlText w:val=""/>
      <w:lvlJc w:val="left"/>
      <w:pPr>
        <w:ind w:left="1800" w:hanging="360"/>
      </w:pPr>
      <w:rPr>
        <w:rFonts w:ascii="Symbol" w:hAnsi="Symbol" w:cs="Symbol"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8">
    <w:nsid w:val="40FA7E90"/>
    <w:multiLevelType w:val="hybridMultilevel"/>
    <w:tmpl w:val="5EF66A3C"/>
    <w:lvl w:ilvl="0" w:tplc="03CAB46E">
      <w:start w:val="1"/>
      <w:numFmt w:val="bullet"/>
      <w:lvlText w:val=""/>
      <w:lvlJc w:val="left"/>
      <w:pPr>
        <w:tabs>
          <w:tab w:val="num" w:pos="1441"/>
        </w:tabs>
        <w:ind w:left="1441" w:hanging="360"/>
      </w:pPr>
      <w:rPr>
        <w:rFonts w:ascii="Symbol" w:hAnsi="Symbol" w:cs="Symbol" w:hint="default"/>
      </w:rPr>
    </w:lvl>
    <w:lvl w:ilvl="1" w:tplc="041B0003">
      <w:start w:val="1"/>
      <w:numFmt w:val="bullet"/>
      <w:lvlText w:val="o"/>
      <w:lvlJc w:val="left"/>
      <w:pPr>
        <w:tabs>
          <w:tab w:val="num" w:pos="2161"/>
        </w:tabs>
        <w:ind w:left="2161" w:hanging="360"/>
      </w:pPr>
      <w:rPr>
        <w:rFonts w:ascii="Courier New" w:hAnsi="Courier New" w:cs="Courier New" w:hint="default"/>
      </w:rPr>
    </w:lvl>
    <w:lvl w:ilvl="2" w:tplc="041B0005">
      <w:start w:val="1"/>
      <w:numFmt w:val="bullet"/>
      <w:lvlText w:val=""/>
      <w:lvlJc w:val="left"/>
      <w:pPr>
        <w:tabs>
          <w:tab w:val="num" w:pos="2881"/>
        </w:tabs>
        <w:ind w:left="2881" w:hanging="360"/>
      </w:pPr>
      <w:rPr>
        <w:rFonts w:ascii="Wingdings" w:hAnsi="Wingdings" w:cs="Wingdings" w:hint="default"/>
      </w:rPr>
    </w:lvl>
    <w:lvl w:ilvl="3" w:tplc="041B0001">
      <w:start w:val="1"/>
      <w:numFmt w:val="bullet"/>
      <w:lvlText w:val=""/>
      <w:lvlJc w:val="left"/>
      <w:pPr>
        <w:tabs>
          <w:tab w:val="num" w:pos="3601"/>
        </w:tabs>
        <w:ind w:left="3601" w:hanging="360"/>
      </w:pPr>
      <w:rPr>
        <w:rFonts w:ascii="Symbol" w:hAnsi="Symbol" w:cs="Symbol" w:hint="default"/>
      </w:rPr>
    </w:lvl>
    <w:lvl w:ilvl="4" w:tplc="041B0003">
      <w:start w:val="1"/>
      <w:numFmt w:val="bullet"/>
      <w:lvlText w:val="o"/>
      <w:lvlJc w:val="left"/>
      <w:pPr>
        <w:tabs>
          <w:tab w:val="num" w:pos="4321"/>
        </w:tabs>
        <w:ind w:left="4321" w:hanging="360"/>
      </w:pPr>
      <w:rPr>
        <w:rFonts w:ascii="Courier New" w:hAnsi="Courier New" w:cs="Courier New" w:hint="default"/>
      </w:rPr>
    </w:lvl>
    <w:lvl w:ilvl="5" w:tplc="041B0005">
      <w:start w:val="1"/>
      <w:numFmt w:val="bullet"/>
      <w:lvlText w:val=""/>
      <w:lvlJc w:val="left"/>
      <w:pPr>
        <w:tabs>
          <w:tab w:val="num" w:pos="5041"/>
        </w:tabs>
        <w:ind w:left="5041" w:hanging="360"/>
      </w:pPr>
      <w:rPr>
        <w:rFonts w:ascii="Wingdings" w:hAnsi="Wingdings" w:cs="Wingdings" w:hint="default"/>
      </w:rPr>
    </w:lvl>
    <w:lvl w:ilvl="6" w:tplc="041B0001">
      <w:start w:val="1"/>
      <w:numFmt w:val="bullet"/>
      <w:lvlText w:val=""/>
      <w:lvlJc w:val="left"/>
      <w:pPr>
        <w:tabs>
          <w:tab w:val="num" w:pos="5761"/>
        </w:tabs>
        <w:ind w:left="5761" w:hanging="360"/>
      </w:pPr>
      <w:rPr>
        <w:rFonts w:ascii="Symbol" w:hAnsi="Symbol" w:cs="Symbol" w:hint="default"/>
      </w:rPr>
    </w:lvl>
    <w:lvl w:ilvl="7" w:tplc="041B0003">
      <w:start w:val="1"/>
      <w:numFmt w:val="bullet"/>
      <w:lvlText w:val="o"/>
      <w:lvlJc w:val="left"/>
      <w:pPr>
        <w:tabs>
          <w:tab w:val="num" w:pos="6481"/>
        </w:tabs>
        <w:ind w:left="6481" w:hanging="360"/>
      </w:pPr>
      <w:rPr>
        <w:rFonts w:ascii="Courier New" w:hAnsi="Courier New" w:cs="Courier New" w:hint="default"/>
      </w:rPr>
    </w:lvl>
    <w:lvl w:ilvl="8" w:tplc="041B0005">
      <w:start w:val="1"/>
      <w:numFmt w:val="bullet"/>
      <w:lvlText w:val=""/>
      <w:lvlJc w:val="left"/>
      <w:pPr>
        <w:tabs>
          <w:tab w:val="num" w:pos="7201"/>
        </w:tabs>
        <w:ind w:left="7201" w:hanging="360"/>
      </w:pPr>
      <w:rPr>
        <w:rFonts w:ascii="Wingdings" w:hAnsi="Wingdings" w:cs="Wingdings" w:hint="default"/>
      </w:rPr>
    </w:lvl>
  </w:abstractNum>
  <w:abstractNum w:abstractNumId="9">
    <w:nsid w:val="4B9547B1"/>
    <w:multiLevelType w:val="hybridMultilevel"/>
    <w:tmpl w:val="0AEEB316"/>
    <w:lvl w:ilvl="0" w:tplc="03CAB46E">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46206B6"/>
    <w:multiLevelType w:val="hybridMultilevel"/>
    <w:tmpl w:val="5942B464"/>
    <w:lvl w:ilvl="0" w:tplc="03CAB46E">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90678EE"/>
    <w:multiLevelType w:val="hybridMultilevel"/>
    <w:tmpl w:val="2DFED9B0"/>
    <w:lvl w:ilvl="0" w:tplc="03CAB46E">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nsid w:val="5A140B61"/>
    <w:multiLevelType w:val="hybridMultilevel"/>
    <w:tmpl w:val="97AE59A2"/>
    <w:lvl w:ilvl="0" w:tplc="03CAB46E">
      <w:start w:val="1"/>
      <w:numFmt w:val="bullet"/>
      <w:lvlText w:val=""/>
      <w:lvlJc w:val="left"/>
      <w:pPr>
        <w:tabs>
          <w:tab w:val="num" w:pos="729"/>
        </w:tabs>
        <w:ind w:left="729" w:hanging="360"/>
      </w:pPr>
      <w:rPr>
        <w:rFonts w:ascii="Symbol" w:hAnsi="Symbol" w:cs="Symbol" w:hint="default"/>
      </w:rPr>
    </w:lvl>
    <w:lvl w:ilvl="1" w:tplc="041B0003">
      <w:start w:val="1"/>
      <w:numFmt w:val="bullet"/>
      <w:lvlText w:val="o"/>
      <w:lvlJc w:val="left"/>
      <w:pPr>
        <w:tabs>
          <w:tab w:val="num" w:pos="1449"/>
        </w:tabs>
        <w:ind w:left="1449" w:hanging="360"/>
      </w:pPr>
      <w:rPr>
        <w:rFonts w:ascii="Courier New" w:hAnsi="Courier New" w:cs="Courier New" w:hint="default"/>
      </w:rPr>
    </w:lvl>
    <w:lvl w:ilvl="2" w:tplc="041B0005">
      <w:start w:val="1"/>
      <w:numFmt w:val="bullet"/>
      <w:lvlText w:val=""/>
      <w:lvlJc w:val="left"/>
      <w:pPr>
        <w:tabs>
          <w:tab w:val="num" w:pos="2169"/>
        </w:tabs>
        <w:ind w:left="2169" w:hanging="360"/>
      </w:pPr>
      <w:rPr>
        <w:rFonts w:ascii="Wingdings" w:hAnsi="Wingdings" w:cs="Wingdings" w:hint="default"/>
      </w:rPr>
    </w:lvl>
    <w:lvl w:ilvl="3" w:tplc="041B0001">
      <w:start w:val="1"/>
      <w:numFmt w:val="bullet"/>
      <w:lvlText w:val=""/>
      <w:lvlJc w:val="left"/>
      <w:pPr>
        <w:tabs>
          <w:tab w:val="num" w:pos="2889"/>
        </w:tabs>
        <w:ind w:left="2889" w:hanging="360"/>
      </w:pPr>
      <w:rPr>
        <w:rFonts w:ascii="Symbol" w:hAnsi="Symbol" w:cs="Symbol" w:hint="default"/>
      </w:rPr>
    </w:lvl>
    <w:lvl w:ilvl="4" w:tplc="041B0003">
      <w:start w:val="1"/>
      <w:numFmt w:val="bullet"/>
      <w:lvlText w:val="o"/>
      <w:lvlJc w:val="left"/>
      <w:pPr>
        <w:tabs>
          <w:tab w:val="num" w:pos="3609"/>
        </w:tabs>
        <w:ind w:left="3609" w:hanging="360"/>
      </w:pPr>
      <w:rPr>
        <w:rFonts w:ascii="Courier New" w:hAnsi="Courier New" w:cs="Courier New" w:hint="default"/>
      </w:rPr>
    </w:lvl>
    <w:lvl w:ilvl="5" w:tplc="041B0005">
      <w:start w:val="1"/>
      <w:numFmt w:val="bullet"/>
      <w:lvlText w:val=""/>
      <w:lvlJc w:val="left"/>
      <w:pPr>
        <w:tabs>
          <w:tab w:val="num" w:pos="4329"/>
        </w:tabs>
        <w:ind w:left="4329" w:hanging="360"/>
      </w:pPr>
      <w:rPr>
        <w:rFonts w:ascii="Wingdings" w:hAnsi="Wingdings" w:cs="Wingdings" w:hint="default"/>
      </w:rPr>
    </w:lvl>
    <w:lvl w:ilvl="6" w:tplc="041B0001">
      <w:start w:val="1"/>
      <w:numFmt w:val="bullet"/>
      <w:lvlText w:val=""/>
      <w:lvlJc w:val="left"/>
      <w:pPr>
        <w:tabs>
          <w:tab w:val="num" w:pos="5049"/>
        </w:tabs>
        <w:ind w:left="5049" w:hanging="360"/>
      </w:pPr>
      <w:rPr>
        <w:rFonts w:ascii="Symbol" w:hAnsi="Symbol" w:cs="Symbol" w:hint="default"/>
      </w:rPr>
    </w:lvl>
    <w:lvl w:ilvl="7" w:tplc="041B0003">
      <w:start w:val="1"/>
      <w:numFmt w:val="bullet"/>
      <w:lvlText w:val="o"/>
      <w:lvlJc w:val="left"/>
      <w:pPr>
        <w:tabs>
          <w:tab w:val="num" w:pos="5769"/>
        </w:tabs>
        <w:ind w:left="5769" w:hanging="360"/>
      </w:pPr>
      <w:rPr>
        <w:rFonts w:ascii="Courier New" w:hAnsi="Courier New" w:cs="Courier New" w:hint="default"/>
      </w:rPr>
    </w:lvl>
    <w:lvl w:ilvl="8" w:tplc="041B0005">
      <w:start w:val="1"/>
      <w:numFmt w:val="bullet"/>
      <w:lvlText w:val=""/>
      <w:lvlJc w:val="left"/>
      <w:pPr>
        <w:tabs>
          <w:tab w:val="num" w:pos="6489"/>
        </w:tabs>
        <w:ind w:left="6489" w:hanging="360"/>
      </w:pPr>
      <w:rPr>
        <w:rFonts w:ascii="Wingdings" w:hAnsi="Wingdings" w:cs="Wingdings" w:hint="default"/>
      </w:rPr>
    </w:lvl>
  </w:abstractNum>
  <w:abstractNum w:abstractNumId="13">
    <w:nsid w:val="5AFA6BA7"/>
    <w:multiLevelType w:val="hybridMultilevel"/>
    <w:tmpl w:val="61125970"/>
    <w:lvl w:ilvl="0" w:tplc="03CAB46E">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2D12CF8"/>
    <w:multiLevelType w:val="hybridMultilevel"/>
    <w:tmpl w:val="C92638BA"/>
    <w:lvl w:ilvl="0" w:tplc="03CAB46E">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EB73F62"/>
    <w:multiLevelType w:val="hybridMultilevel"/>
    <w:tmpl w:val="8FDECBD2"/>
    <w:lvl w:ilvl="0" w:tplc="03CAB46E">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02507CC"/>
    <w:multiLevelType w:val="hybridMultilevel"/>
    <w:tmpl w:val="989AD408"/>
    <w:lvl w:ilvl="0" w:tplc="6D22541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CBA38E6"/>
    <w:multiLevelType w:val="hybridMultilevel"/>
    <w:tmpl w:val="FE327942"/>
    <w:lvl w:ilvl="0" w:tplc="24C2A792">
      <w:start w:val="8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7"/>
  </w:num>
  <w:num w:numId="5">
    <w:abstractNumId w:val="11"/>
  </w:num>
  <w:num w:numId="6">
    <w:abstractNumId w:val="12"/>
  </w:num>
  <w:num w:numId="7">
    <w:abstractNumId w:val="2"/>
  </w:num>
  <w:num w:numId="8">
    <w:abstractNumId w:val="16"/>
  </w:num>
  <w:num w:numId="9">
    <w:abstractNumId w:val="5"/>
  </w:num>
  <w:num w:numId="10">
    <w:abstractNumId w:val="15"/>
  </w:num>
  <w:num w:numId="11">
    <w:abstractNumId w:val="0"/>
  </w:num>
  <w:num w:numId="12">
    <w:abstractNumId w:val="13"/>
  </w:num>
  <w:num w:numId="13">
    <w:abstractNumId w:val="9"/>
  </w:num>
  <w:num w:numId="14">
    <w:abstractNumId w:val="14"/>
  </w:num>
  <w:num w:numId="15">
    <w:abstractNumId w:val="1"/>
  </w:num>
  <w:num w:numId="16">
    <w:abstractNumId w:val="10"/>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84"/>
    <w:rsid w:val="00052EC7"/>
    <w:rsid w:val="0006728A"/>
    <w:rsid w:val="0007463C"/>
    <w:rsid w:val="0008130F"/>
    <w:rsid w:val="00116853"/>
    <w:rsid w:val="0024115F"/>
    <w:rsid w:val="002416AB"/>
    <w:rsid w:val="002453F8"/>
    <w:rsid w:val="002503D9"/>
    <w:rsid w:val="00276A34"/>
    <w:rsid w:val="00277E73"/>
    <w:rsid w:val="002C1D29"/>
    <w:rsid w:val="00337F7F"/>
    <w:rsid w:val="0034791F"/>
    <w:rsid w:val="00373FDE"/>
    <w:rsid w:val="003A4F42"/>
    <w:rsid w:val="003B10A4"/>
    <w:rsid w:val="003C58D6"/>
    <w:rsid w:val="00433B72"/>
    <w:rsid w:val="004707A2"/>
    <w:rsid w:val="004A646B"/>
    <w:rsid w:val="004F5919"/>
    <w:rsid w:val="00522377"/>
    <w:rsid w:val="00561403"/>
    <w:rsid w:val="007205B5"/>
    <w:rsid w:val="0074702E"/>
    <w:rsid w:val="00792757"/>
    <w:rsid w:val="007D5F44"/>
    <w:rsid w:val="007F38C4"/>
    <w:rsid w:val="0080555B"/>
    <w:rsid w:val="008202BB"/>
    <w:rsid w:val="00867021"/>
    <w:rsid w:val="0090531A"/>
    <w:rsid w:val="00943284"/>
    <w:rsid w:val="009459AF"/>
    <w:rsid w:val="009C0002"/>
    <w:rsid w:val="009F25E3"/>
    <w:rsid w:val="00AC1B65"/>
    <w:rsid w:val="00AE4F70"/>
    <w:rsid w:val="00AF5E2D"/>
    <w:rsid w:val="00BA0E3A"/>
    <w:rsid w:val="00C57568"/>
    <w:rsid w:val="00CB2B1A"/>
    <w:rsid w:val="00CB5222"/>
    <w:rsid w:val="00CC13ED"/>
    <w:rsid w:val="00D46154"/>
    <w:rsid w:val="00DC0534"/>
    <w:rsid w:val="00DD1CB5"/>
    <w:rsid w:val="00E3564E"/>
    <w:rsid w:val="00E61BC5"/>
    <w:rsid w:val="00E7610D"/>
    <w:rsid w:val="00E857E2"/>
    <w:rsid w:val="00E93964"/>
    <w:rsid w:val="00F52F6D"/>
    <w:rsid w:val="00F77C8D"/>
    <w:rsid w:val="00FF35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FAE54-6B03-48C9-830E-1ADBB447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3284"/>
    <w:rPr>
      <w:rFonts w:ascii="Calibri" w:eastAsia="Calibri" w:hAnsi="Calibri" w:cs="Calibri"/>
      <w:lang w:val="en-GB"/>
    </w:rPr>
  </w:style>
  <w:style w:type="paragraph" w:styleId="Nadpis1">
    <w:name w:val="heading 1"/>
    <w:basedOn w:val="Normlny"/>
    <w:next w:val="Normlny"/>
    <w:link w:val="Nadpis1Char"/>
    <w:uiPriority w:val="99"/>
    <w:qFormat/>
    <w:rsid w:val="00943284"/>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semiHidden/>
    <w:unhideWhenUsed/>
    <w:qFormat/>
    <w:rsid w:val="00F77C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43284"/>
    <w:rPr>
      <w:rFonts w:ascii="Arial" w:eastAsia="Calibri" w:hAnsi="Arial" w:cs="Arial"/>
      <w:b/>
      <w:bCs/>
      <w:kern w:val="32"/>
      <w:sz w:val="32"/>
      <w:szCs w:val="32"/>
    </w:rPr>
  </w:style>
  <w:style w:type="character" w:styleId="Hypertextovprepojenie">
    <w:name w:val="Hyperlink"/>
    <w:uiPriority w:val="99"/>
    <w:rsid w:val="00943284"/>
    <w:rPr>
      <w:color w:val="0000FF"/>
      <w:u w:val="single"/>
    </w:rPr>
  </w:style>
  <w:style w:type="paragraph" w:styleId="Normlnywebov">
    <w:name w:val="Normal (Web)"/>
    <w:basedOn w:val="Normlny"/>
    <w:uiPriority w:val="99"/>
    <w:rsid w:val="00943284"/>
    <w:pPr>
      <w:spacing w:before="100" w:beforeAutospacing="1" w:after="100" w:afterAutospacing="1" w:line="240" w:lineRule="auto"/>
    </w:pPr>
    <w:rPr>
      <w:sz w:val="24"/>
      <w:szCs w:val="24"/>
      <w:lang w:eastAsia="sk-SK"/>
    </w:rPr>
  </w:style>
  <w:style w:type="paragraph" w:styleId="Obsah1">
    <w:name w:val="toc 1"/>
    <w:basedOn w:val="Normlny"/>
    <w:next w:val="Normlny"/>
    <w:autoRedefine/>
    <w:uiPriority w:val="39"/>
    <w:rsid w:val="00943284"/>
  </w:style>
  <w:style w:type="paragraph" w:styleId="Obsah2">
    <w:name w:val="toc 2"/>
    <w:basedOn w:val="Normlny"/>
    <w:next w:val="Normlny"/>
    <w:autoRedefine/>
    <w:uiPriority w:val="39"/>
    <w:rsid w:val="00943284"/>
    <w:pPr>
      <w:tabs>
        <w:tab w:val="right" w:leader="dot" w:pos="9060"/>
      </w:tabs>
      <w:ind w:left="540" w:hanging="320"/>
    </w:pPr>
  </w:style>
  <w:style w:type="paragraph" w:styleId="Obsah3">
    <w:name w:val="toc 3"/>
    <w:basedOn w:val="Normlny"/>
    <w:next w:val="Normlny"/>
    <w:autoRedefine/>
    <w:uiPriority w:val="39"/>
    <w:rsid w:val="00943284"/>
    <w:pPr>
      <w:ind w:left="440"/>
    </w:pPr>
  </w:style>
  <w:style w:type="paragraph" w:styleId="Textbubliny">
    <w:name w:val="Balloon Text"/>
    <w:basedOn w:val="Normlny"/>
    <w:link w:val="TextbublinyChar"/>
    <w:uiPriority w:val="99"/>
    <w:semiHidden/>
    <w:unhideWhenUsed/>
    <w:rsid w:val="0094328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43284"/>
    <w:rPr>
      <w:rFonts w:ascii="Tahoma" w:eastAsia="Calibri" w:hAnsi="Tahoma" w:cs="Tahoma"/>
      <w:sz w:val="16"/>
      <w:szCs w:val="16"/>
    </w:rPr>
  </w:style>
  <w:style w:type="paragraph" w:styleId="Hlavika">
    <w:name w:val="header"/>
    <w:basedOn w:val="Normlny"/>
    <w:link w:val="HlavikaChar"/>
    <w:uiPriority w:val="99"/>
    <w:unhideWhenUsed/>
    <w:rsid w:val="00F52F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2F6D"/>
    <w:rPr>
      <w:rFonts w:ascii="Calibri" w:eastAsia="Calibri" w:hAnsi="Calibri" w:cs="Calibri"/>
    </w:rPr>
  </w:style>
  <w:style w:type="paragraph" w:styleId="Pta">
    <w:name w:val="footer"/>
    <w:basedOn w:val="Normlny"/>
    <w:link w:val="PtaChar"/>
    <w:uiPriority w:val="99"/>
    <w:unhideWhenUsed/>
    <w:rsid w:val="00F52F6D"/>
    <w:pPr>
      <w:tabs>
        <w:tab w:val="center" w:pos="4536"/>
        <w:tab w:val="right" w:pos="9072"/>
      </w:tabs>
      <w:spacing w:after="0" w:line="240" w:lineRule="auto"/>
    </w:pPr>
  </w:style>
  <w:style w:type="character" w:customStyle="1" w:styleId="PtaChar">
    <w:name w:val="Päta Char"/>
    <w:basedOn w:val="Predvolenpsmoodseku"/>
    <w:link w:val="Pta"/>
    <w:uiPriority w:val="99"/>
    <w:rsid w:val="00F52F6D"/>
    <w:rPr>
      <w:rFonts w:ascii="Calibri" w:eastAsia="Calibri" w:hAnsi="Calibri" w:cs="Calibri"/>
    </w:rPr>
  </w:style>
  <w:style w:type="character" w:customStyle="1" w:styleId="Nadpis2Char">
    <w:name w:val="Nadpis 2 Char"/>
    <w:basedOn w:val="Predvolenpsmoodseku"/>
    <w:link w:val="Nadpis2"/>
    <w:uiPriority w:val="9"/>
    <w:semiHidden/>
    <w:rsid w:val="00F77C8D"/>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F77C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hyperlink" Target="mailto:sjfpnoo@minv.sk"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hyperlink" Target="mailto:sjfpopm@minv.sk" TargetMode="External"/><Relationship Id="rId20" Type="http://schemas.openxmlformats.org/officeDocument/2006/relationships/hyperlink" Target="mailto:sjfpsek@minv.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inv.sk/?financna-polici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H_rok_programu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_rok_programu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_rok_programu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_rok_programu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_rok_programu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H_rok_programu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Hárok1!$B$1</c:f>
              <c:strCache>
                <c:ptCount val="1"/>
                <c:pt idx="0">
                  <c:v>Rad 1</c:v>
                </c:pt>
              </c:strCache>
            </c:strRef>
          </c:tx>
          <c:spPr>
            <a:solidFill>
              <a:srgbClr val="00B050"/>
            </a:solidFill>
            <a:ln w="19056">
              <a:solidFill>
                <a:schemeClr val="accent3">
                  <a:lumMod val="50000"/>
                </a:schemeClr>
              </a:solidFill>
            </a:ln>
          </c:spPr>
          <c:invertIfNegative val="0"/>
          <c:dLbls>
            <c:spPr>
              <a:noFill/>
              <a:ln w="25408">
                <a:noFill/>
              </a:ln>
            </c:spPr>
            <c:txPr>
              <a:bodyPr/>
              <a:lstStyle/>
              <a:p>
                <a:pPr>
                  <a:defRPr b="1"/>
                </a:pPr>
                <a:endParaRPr lang="sk-S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Hárok1!$A$2:$A$6</c:f>
              <c:numCache>
                <c:formatCode>General</c:formatCode>
                <c:ptCount val="5"/>
                <c:pt idx="0">
                  <c:v>2009</c:v>
                </c:pt>
                <c:pt idx="1">
                  <c:v>2010</c:v>
                </c:pt>
                <c:pt idx="2">
                  <c:v>2011</c:v>
                </c:pt>
                <c:pt idx="3">
                  <c:v>2012</c:v>
                </c:pt>
                <c:pt idx="4">
                  <c:v>2013</c:v>
                </c:pt>
              </c:numCache>
            </c:numRef>
          </c:cat>
          <c:val>
            <c:numRef>
              <c:f>Hárok1!$B$2:$B$6</c:f>
              <c:numCache>
                <c:formatCode>General</c:formatCode>
                <c:ptCount val="5"/>
                <c:pt idx="0">
                  <c:v>2686</c:v>
                </c:pt>
                <c:pt idx="1">
                  <c:v>2470</c:v>
                </c:pt>
                <c:pt idx="2">
                  <c:v>2982</c:v>
                </c:pt>
                <c:pt idx="3">
                  <c:v>3650</c:v>
                </c:pt>
                <c:pt idx="4">
                  <c:v>3886</c:v>
                </c:pt>
              </c:numCache>
            </c:numRef>
          </c:val>
        </c:ser>
        <c:dLbls>
          <c:showLegendKey val="0"/>
          <c:showVal val="1"/>
          <c:showCatName val="0"/>
          <c:showSerName val="0"/>
          <c:showPercent val="0"/>
          <c:showBubbleSize val="0"/>
        </c:dLbls>
        <c:gapWidth val="150"/>
        <c:axId val="150313152"/>
        <c:axId val="150313544"/>
      </c:barChart>
      <c:catAx>
        <c:axId val="150313152"/>
        <c:scaling>
          <c:orientation val="minMax"/>
        </c:scaling>
        <c:delete val="0"/>
        <c:axPos val="b"/>
        <c:numFmt formatCode="General" sourceLinked="1"/>
        <c:majorTickMark val="out"/>
        <c:minorTickMark val="none"/>
        <c:tickLblPos val="nextTo"/>
        <c:txPr>
          <a:bodyPr/>
          <a:lstStyle/>
          <a:p>
            <a:pPr>
              <a:defRPr b="1"/>
            </a:pPr>
            <a:endParaRPr lang="sk-SK"/>
          </a:p>
        </c:txPr>
        <c:crossAx val="150313544"/>
        <c:crosses val="autoZero"/>
        <c:auto val="1"/>
        <c:lblAlgn val="ctr"/>
        <c:lblOffset val="100"/>
        <c:noMultiLvlLbl val="0"/>
      </c:catAx>
      <c:valAx>
        <c:axId val="150313544"/>
        <c:scaling>
          <c:orientation val="minMax"/>
        </c:scaling>
        <c:delete val="0"/>
        <c:axPos val="l"/>
        <c:majorGridlines/>
        <c:numFmt formatCode="General" sourceLinked="1"/>
        <c:majorTickMark val="out"/>
        <c:minorTickMark val="none"/>
        <c:tickLblPos val="nextTo"/>
        <c:crossAx val="150313152"/>
        <c:crosses val="autoZero"/>
        <c:crossBetween val="between"/>
      </c:valAx>
      <c:spPr>
        <a:noFill/>
        <a:ln w="25408">
          <a:noFill/>
        </a:ln>
      </c:spPr>
    </c:plotArea>
    <c:plotVisOnly val="1"/>
    <c:dispBlanksAs val="gap"/>
    <c:showDLblsOverMax val="0"/>
  </c:chart>
  <c:spPr>
    <a:noFill/>
    <a:ln w="25408">
      <a:solidFill>
        <a:schemeClr val="bg1">
          <a:lumMod val="50000"/>
        </a:schemeClr>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Hárok1!$B$1</c:f>
              <c:strCache>
                <c:ptCount val="1"/>
                <c:pt idx="0">
                  <c:v>2013</c:v>
                </c:pt>
              </c:strCache>
            </c:strRef>
          </c:tx>
          <c:spPr>
            <a:solidFill>
              <a:srgbClr val="00B050"/>
            </a:solidFill>
          </c:spPr>
          <c:invertIfNegative val="0"/>
          <c:dPt>
            <c:idx val="0"/>
            <c:invertIfNegative val="0"/>
            <c:bubble3D val="0"/>
            <c:spPr>
              <a:solidFill>
                <a:srgbClr val="FFFF00"/>
              </a:solidFill>
              <a:ln w="12695">
                <a:solidFill>
                  <a:schemeClr val="tx1"/>
                </a:solidFill>
              </a:ln>
            </c:spPr>
          </c:dPt>
          <c:dPt>
            <c:idx val="1"/>
            <c:invertIfNegative val="0"/>
            <c:bubble3D val="0"/>
            <c:spPr>
              <a:solidFill>
                <a:srgbClr val="FF0000"/>
              </a:solidFill>
              <a:ln w="12695">
                <a:solidFill>
                  <a:schemeClr val="tx1"/>
                </a:solidFill>
              </a:ln>
            </c:spPr>
          </c:dPt>
          <c:dPt>
            <c:idx val="2"/>
            <c:invertIfNegative val="0"/>
            <c:bubble3D val="0"/>
            <c:spPr>
              <a:solidFill>
                <a:srgbClr val="00B0F0"/>
              </a:solidFill>
              <a:ln w="12695">
                <a:solidFill>
                  <a:schemeClr val="tx1"/>
                </a:solidFill>
              </a:ln>
            </c:spPr>
          </c:dPt>
          <c:dPt>
            <c:idx val="3"/>
            <c:invertIfNegative val="0"/>
            <c:bubble3D val="0"/>
            <c:spPr>
              <a:solidFill>
                <a:srgbClr val="7030A0"/>
              </a:solidFill>
              <a:ln w="12695">
                <a:solidFill>
                  <a:schemeClr val="tx1"/>
                </a:solidFill>
              </a:ln>
            </c:spPr>
          </c:dPt>
          <c:dPt>
            <c:idx val="4"/>
            <c:invertIfNegative val="0"/>
            <c:bubble3D val="0"/>
            <c:spPr>
              <a:solidFill>
                <a:schemeClr val="accent6"/>
              </a:solidFill>
              <a:ln w="12695">
                <a:solidFill>
                  <a:schemeClr val="tx1"/>
                </a:solidFill>
              </a:ln>
            </c:spPr>
          </c:dPt>
          <c:dPt>
            <c:idx val="5"/>
            <c:invertIfNegative val="0"/>
            <c:bubble3D val="0"/>
            <c:spPr>
              <a:solidFill>
                <a:schemeClr val="accent3">
                  <a:lumMod val="75000"/>
                </a:schemeClr>
              </a:solidFill>
              <a:ln w="12695">
                <a:solidFill>
                  <a:schemeClr val="tx1"/>
                </a:solidFill>
              </a:ln>
            </c:spPr>
          </c:dPt>
          <c:dPt>
            <c:idx val="6"/>
            <c:invertIfNegative val="0"/>
            <c:bubble3D val="0"/>
            <c:spPr>
              <a:solidFill>
                <a:schemeClr val="accent2">
                  <a:lumMod val="75000"/>
                </a:schemeClr>
              </a:solidFill>
              <a:ln w="12695">
                <a:solidFill>
                  <a:schemeClr val="tx1"/>
                </a:solidFill>
              </a:ln>
            </c:spPr>
          </c:dPt>
          <c:dPt>
            <c:idx val="7"/>
            <c:invertIfNegative val="0"/>
            <c:bubble3D val="0"/>
            <c:spPr>
              <a:solidFill>
                <a:schemeClr val="tx2">
                  <a:lumMod val="60000"/>
                  <a:lumOff val="40000"/>
                </a:schemeClr>
              </a:solidFill>
              <a:ln w="12695">
                <a:solidFill>
                  <a:schemeClr val="tx1"/>
                </a:solidFill>
              </a:ln>
            </c:spPr>
          </c:dPt>
          <c:dPt>
            <c:idx val="8"/>
            <c:invertIfNegative val="0"/>
            <c:bubble3D val="0"/>
            <c:spPr>
              <a:solidFill>
                <a:srgbClr val="24EEF8"/>
              </a:solidFill>
              <a:ln w="12695">
                <a:solidFill>
                  <a:schemeClr val="tx1"/>
                </a:solidFill>
              </a:ln>
            </c:spPr>
          </c:dPt>
          <c:dPt>
            <c:idx val="9"/>
            <c:invertIfNegative val="0"/>
            <c:bubble3D val="0"/>
            <c:spPr>
              <a:solidFill>
                <a:srgbClr val="E109A3"/>
              </a:solidFill>
              <a:ln w="12695">
                <a:solidFill>
                  <a:schemeClr val="tx1"/>
                </a:solidFill>
              </a:ln>
            </c:spPr>
          </c:dPt>
          <c:dLbls>
            <c:spPr>
              <a:noFill/>
              <a:ln w="25390">
                <a:noFill/>
              </a:ln>
            </c:spPr>
            <c:txPr>
              <a:bodyPr/>
              <a:lstStyle/>
              <a:p>
                <a:pPr>
                  <a:defRPr b="1"/>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Hárok1!$A$2:$A$11</c:f>
              <c:strCache>
                <c:ptCount val="10"/>
                <c:pt idx="0">
                  <c:v>Hungary </c:v>
                </c:pt>
                <c:pt idx="1">
                  <c:v>Czech Republic</c:v>
                </c:pt>
                <c:pt idx="2">
                  <c:v>Austria</c:v>
                </c:pt>
                <c:pt idx="3">
                  <c:v>Poland </c:v>
                </c:pt>
                <c:pt idx="4">
                  <c:v>Luxemburg</c:v>
                </c:pt>
                <c:pt idx="5">
                  <c:v>Latvia</c:v>
                </c:pt>
                <c:pt idx="6">
                  <c:v>Germany</c:v>
                </c:pt>
                <c:pt idx="7">
                  <c:v>France</c:v>
                </c:pt>
                <c:pt idx="8">
                  <c:v>United Kingdom</c:v>
                </c:pt>
                <c:pt idx="9">
                  <c:v>Lithuania</c:v>
                </c:pt>
              </c:strCache>
            </c:strRef>
          </c:cat>
          <c:val>
            <c:numRef>
              <c:f>Hárok1!$B$2:$B$11</c:f>
              <c:numCache>
                <c:formatCode>General</c:formatCode>
                <c:ptCount val="10"/>
                <c:pt idx="0">
                  <c:v>54</c:v>
                </c:pt>
                <c:pt idx="1">
                  <c:v>48</c:v>
                </c:pt>
                <c:pt idx="2">
                  <c:v>15</c:v>
                </c:pt>
                <c:pt idx="3">
                  <c:v>13</c:v>
                </c:pt>
                <c:pt idx="4">
                  <c:v>13</c:v>
                </c:pt>
                <c:pt idx="5">
                  <c:v>10</c:v>
                </c:pt>
                <c:pt idx="6">
                  <c:v>9</c:v>
                </c:pt>
                <c:pt idx="7">
                  <c:v>9</c:v>
                </c:pt>
                <c:pt idx="8">
                  <c:v>9</c:v>
                </c:pt>
                <c:pt idx="9">
                  <c:v>8</c:v>
                </c:pt>
              </c:numCache>
            </c:numRef>
          </c:val>
        </c:ser>
        <c:dLbls>
          <c:showLegendKey val="0"/>
          <c:showVal val="0"/>
          <c:showCatName val="0"/>
          <c:showSerName val="0"/>
          <c:showPercent val="0"/>
          <c:showBubbleSize val="0"/>
        </c:dLbls>
        <c:gapWidth val="150"/>
        <c:axId val="150314328"/>
        <c:axId val="150314720"/>
      </c:barChart>
      <c:catAx>
        <c:axId val="150314328"/>
        <c:scaling>
          <c:orientation val="minMax"/>
        </c:scaling>
        <c:delete val="0"/>
        <c:axPos val="b"/>
        <c:numFmt formatCode="General" sourceLinked="1"/>
        <c:majorTickMark val="out"/>
        <c:minorTickMark val="none"/>
        <c:tickLblPos val="nextTo"/>
        <c:txPr>
          <a:bodyPr/>
          <a:lstStyle/>
          <a:p>
            <a:pPr>
              <a:defRPr b="1"/>
            </a:pPr>
            <a:endParaRPr lang="sk-SK"/>
          </a:p>
        </c:txPr>
        <c:crossAx val="150314720"/>
        <c:crosses val="autoZero"/>
        <c:auto val="1"/>
        <c:lblAlgn val="ctr"/>
        <c:lblOffset val="100"/>
        <c:noMultiLvlLbl val="0"/>
      </c:catAx>
      <c:valAx>
        <c:axId val="150314720"/>
        <c:scaling>
          <c:orientation val="minMax"/>
        </c:scaling>
        <c:delete val="0"/>
        <c:axPos val="l"/>
        <c:majorGridlines/>
        <c:numFmt formatCode="General" sourceLinked="1"/>
        <c:majorTickMark val="out"/>
        <c:minorTickMark val="none"/>
        <c:tickLblPos val="nextTo"/>
        <c:crossAx val="150314328"/>
        <c:crosses val="autoZero"/>
        <c:crossBetween val="between"/>
      </c:valAx>
      <c:spPr>
        <a:noFill/>
        <a:ln w="25390">
          <a:noFill/>
        </a:ln>
      </c:spPr>
    </c:plotArea>
    <c:plotVisOnly val="1"/>
    <c:dispBlanksAs val="gap"/>
    <c:showDLblsOverMax val="0"/>
  </c:chart>
  <c:spPr>
    <a:noFill/>
    <a:ln w="25390">
      <a:solidFill>
        <a:schemeClr val="bg1">
          <a:lumMod val="50000"/>
        </a:schemeClr>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Hárok1!$B$1</c:f>
              <c:strCache>
                <c:ptCount val="1"/>
                <c:pt idx="0">
                  <c:v>2013</c:v>
                </c:pt>
              </c:strCache>
            </c:strRef>
          </c:tx>
          <c:spPr>
            <a:solidFill>
              <a:srgbClr val="00B050"/>
            </a:solidFill>
          </c:spPr>
          <c:invertIfNegative val="0"/>
          <c:dPt>
            <c:idx val="0"/>
            <c:invertIfNegative val="0"/>
            <c:bubble3D val="0"/>
            <c:spPr>
              <a:solidFill>
                <a:schemeClr val="accent2">
                  <a:lumMod val="75000"/>
                </a:schemeClr>
              </a:solidFill>
              <a:ln w="12698">
                <a:solidFill>
                  <a:schemeClr val="tx1"/>
                </a:solidFill>
              </a:ln>
            </c:spPr>
          </c:dPt>
          <c:dPt>
            <c:idx val="1"/>
            <c:invertIfNegative val="0"/>
            <c:bubble3D val="0"/>
            <c:spPr>
              <a:solidFill>
                <a:schemeClr val="accent6">
                  <a:lumMod val="75000"/>
                </a:schemeClr>
              </a:solidFill>
              <a:ln w="12698">
                <a:solidFill>
                  <a:schemeClr val="tx1"/>
                </a:solidFill>
              </a:ln>
            </c:spPr>
          </c:dPt>
          <c:dPt>
            <c:idx val="2"/>
            <c:invertIfNegative val="0"/>
            <c:bubble3D val="0"/>
            <c:spPr>
              <a:solidFill>
                <a:schemeClr val="bg2">
                  <a:lumMod val="25000"/>
                </a:schemeClr>
              </a:solidFill>
              <a:ln w="12698">
                <a:solidFill>
                  <a:schemeClr val="tx1"/>
                </a:solidFill>
              </a:ln>
            </c:spPr>
          </c:dPt>
          <c:dPt>
            <c:idx val="3"/>
            <c:invertIfNegative val="0"/>
            <c:bubble3D val="0"/>
            <c:spPr>
              <a:solidFill>
                <a:schemeClr val="accent5">
                  <a:lumMod val="75000"/>
                </a:schemeClr>
              </a:solidFill>
              <a:ln w="12698">
                <a:solidFill>
                  <a:schemeClr val="tx1"/>
                </a:solidFill>
              </a:ln>
            </c:spPr>
          </c:dPt>
          <c:dPt>
            <c:idx val="4"/>
            <c:invertIfNegative val="0"/>
            <c:bubble3D val="0"/>
            <c:spPr>
              <a:solidFill>
                <a:srgbClr val="00B050"/>
              </a:solidFill>
              <a:ln w="12698">
                <a:solidFill>
                  <a:schemeClr val="tx1"/>
                </a:solidFill>
              </a:ln>
            </c:spPr>
          </c:dPt>
          <c:dPt>
            <c:idx val="5"/>
            <c:invertIfNegative val="0"/>
            <c:bubble3D val="0"/>
            <c:spPr>
              <a:solidFill>
                <a:schemeClr val="accent1">
                  <a:lumMod val="60000"/>
                  <a:lumOff val="40000"/>
                </a:schemeClr>
              </a:solidFill>
              <a:ln w="12698">
                <a:solidFill>
                  <a:schemeClr val="tx1"/>
                </a:solidFill>
              </a:ln>
            </c:spPr>
          </c:dPt>
          <c:dPt>
            <c:idx val="6"/>
            <c:invertIfNegative val="0"/>
            <c:bubble3D val="0"/>
            <c:spPr>
              <a:solidFill>
                <a:srgbClr val="CFC10F"/>
              </a:solidFill>
              <a:ln w="12698">
                <a:solidFill>
                  <a:schemeClr val="tx1"/>
                </a:solidFill>
              </a:ln>
            </c:spPr>
          </c:dPt>
          <c:dPt>
            <c:idx val="7"/>
            <c:invertIfNegative val="0"/>
            <c:bubble3D val="0"/>
            <c:spPr>
              <a:solidFill>
                <a:schemeClr val="accent6"/>
              </a:solidFill>
              <a:ln w="12698">
                <a:solidFill>
                  <a:schemeClr val="tx1"/>
                </a:solidFill>
              </a:ln>
            </c:spPr>
          </c:dPt>
          <c:dPt>
            <c:idx val="8"/>
            <c:invertIfNegative val="0"/>
            <c:bubble3D val="0"/>
            <c:spPr>
              <a:solidFill>
                <a:srgbClr val="FF0000"/>
              </a:solidFill>
              <a:ln w="12698">
                <a:solidFill>
                  <a:schemeClr val="tx1"/>
                </a:solidFill>
              </a:ln>
            </c:spPr>
          </c:dPt>
          <c:dPt>
            <c:idx val="9"/>
            <c:invertIfNegative val="0"/>
            <c:bubble3D val="0"/>
            <c:spPr>
              <a:solidFill>
                <a:schemeClr val="accent3">
                  <a:lumMod val="75000"/>
                </a:schemeClr>
              </a:solidFill>
              <a:ln w="12698">
                <a:solidFill>
                  <a:schemeClr val="tx1"/>
                </a:solidFill>
              </a:ln>
            </c:spPr>
          </c:dPt>
          <c:dLbls>
            <c:spPr>
              <a:noFill/>
              <a:ln w="25397">
                <a:noFill/>
              </a:ln>
            </c:spPr>
            <c:txPr>
              <a:bodyPr/>
              <a:lstStyle/>
              <a:p>
                <a:pPr>
                  <a:defRPr b="1"/>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Hárok1!$A$2:$A$11</c:f>
              <c:strCache>
                <c:ptCount val="10"/>
                <c:pt idx="0">
                  <c:v>Germany</c:v>
                </c:pt>
                <c:pt idx="1">
                  <c:v>Czech Republic</c:v>
                </c:pt>
                <c:pt idx="2">
                  <c:v>Netherlands</c:v>
                </c:pt>
                <c:pt idx="3">
                  <c:v>United Kingdom</c:v>
                </c:pt>
                <c:pt idx="4">
                  <c:v>Italy</c:v>
                </c:pt>
                <c:pt idx="5">
                  <c:v>Austria</c:v>
                </c:pt>
                <c:pt idx="6">
                  <c:v>France</c:v>
                </c:pt>
                <c:pt idx="7">
                  <c:v>Hungary </c:v>
                </c:pt>
                <c:pt idx="8">
                  <c:v>Poland</c:v>
                </c:pt>
                <c:pt idx="9">
                  <c:v>USA</c:v>
                </c:pt>
              </c:strCache>
            </c:strRef>
          </c:cat>
          <c:val>
            <c:numRef>
              <c:f>Hárok1!$B$2:$B$11</c:f>
              <c:numCache>
                <c:formatCode>General</c:formatCode>
                <c:ptCount val="10"/>
                <c:pt idx="0">
                  <c:v>51</c:v>
                </c:pt>
                <c:pt idx="1">
                  <c:v>22</c:v>
                </c:pt>
                <c:pt idx="2">
                  <c:v>20</c:v>
                </c:pt>
                <c:pt idx="3">
                  <c:v>16</c:v>
                </c:pt>
                <c:pt idx="4">
                  <c:v>13</c:v>
                </c:pt>
                <c:pt idx="5">
                  <c:v>13</c:v>
                </c:pt>
                <c:pt idx="6">
                  <c:v>13</c:v>
                </c:pt>
                <c:pt idx="7">
                  <c:v>11</c:v>
                </c:pt>
                <c:pt idx="8">
                  <c:v>10</c:v>
                </c:pt>
                <c:pt idx="9">
                  <c:v>10</c:v>
                </c:pt>
              </c:numCache>
            </c:numRef>
          </c:val>
        </c:ser>
        <c:dLbls>
          <c:showLegendKey val="0"/>
          <c:showVal val="0"/>
          <c:showCatName val="0"/>
          <c:showSerName val="0"/>
          <c:showPercent val="0"/>
          <c:showBubbleSize val="0"/>
        </c:dLbls>
        <c:gapWidth val="150"/>
        <c:axId val="121888096"/>
        <c:axId val="121888488"/>
      </c:barChart>
      <c:catAx>
        <c:axId val="121888096"/>
        <c:scaling>
          <c:orientation val="minMax"/>
        </c:scaling>
        <c:delete val="0"/>
        <c:axPos val="b"/>
        <c:numFmt formatCode="General" sourceLinked="1"/>
        <c:majorTickMark val="out"/>
        <c:minorTickMark val="none"/>
        <c:tickLblPos val="nextTo"/>
        <c:txPr>
          <a:bodyPr/>
          <a:lstStyle/>
          <a:p>
            <a:pPr>
              <a:defRPr b="1"/>
            </a:pPr>
            <a:endParaRPr lang="sk-SK"/>
          </a:p>
        </c:txPr>
        <c:crossAx val="121888488"/>
        <c:crosses val="autoZero"/>
        <c:auto val="1"/>
        <c:lblAlgn val="ctr"/>
        <c:lblOffset val="100"/>
        <c:noMultiLvlLbl val="0"/>
      </c:catAx>
      <c:valAx>
        <c:axId val="121888488"/>
        <c:scaling>
          <c:orientation val="minMax"/>
        </c:scaling>
        <c:delete val="0"/>
        <c:axPos val="l"/>
        <c:majorGridlines/>
        <c:numFmt formatCode="General" sourceLinked="1"/>
        <c:majorTickMark val="out"/>
        <c:minorTickMark val="none"/>
        <c:tickLblPos val="nextTo"/>
        <c:crossAx val="121888096"/>
        <c:crosses val="autoZero"/>
        <c:crossBetween val="between"/>
      </c:valAx>
      <c:spPr>
        <a:noFill/>
        <a:ln w="25397">
          <a:noFill/>
        </a:ln>
      </c:spPr>
    </c:plotArea>
    <c:plotVisOnly val="1"/>
    <c:dispBlanksAs val="gap"/>
    <c:showDLblsOverMax val="0"/>
  </c:chart>
  <c:spPr>
    <a:noFill/>
    <a:ln w="25397">
      <a:solidFill>
        <a:schemeClr val="bg1">
          <a:lumMod val="50000"/>
        </a:schemeClr>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Hárok1!$B$1</c:f>
              <c:strCache>
                <c:ptCount val="1"/>
                <c:pt idx="0">
                  <c:v>2013</c:v>
                </c:pt>
              </c:strCache>
            </c:strRef>
          </c:tx>
          <c:spPr>
            <a:solidFill>
              <a:srgbClr val="00B050"/>
            </a:solidFill>
          </c:spPr>
          <c:invertIfNegative val="0"/>
          <c:dPt>
            <c:idx val="0"/>
            <c:invertIfNegative val="0"/>
            <c:bubble3D val="0"/>
            <c:spPr>
              <a:solidFill>
                <a:schemeClr val="accent5">
                  <a:lumMod val="75000"/>
                </a:schemeClr>
              </a:solidFill>
              <a:ln w="12561">
                <a:solidFill>
                  <a:schemeClr val="tx1"/>
                </a:solidFill>
              </a:ln>
            </c:spPr>
          </c:dPt>
          <c:dPt>
            <c:idx val="1"/>
            <c:invertIfNegative val="0"/>
            <c:bubble3D val="0"/>
            <c:spPr>
              <a:solidFill>
                <a:schemeClr val="accent6">
                  <a:lumMod val="75000"/>
                </a:schemeClr>
              </a:solidFill>
              <a:ln w="12561">
                <a:solidFill>
                  <a:schemeClr val="tx1"/>
                </a:solidFill>
              </a:ln>
            </c:spPr>
          </c:dPt>
          <c:dPt>
            <c:idx val="2"/>
            <c:invertIfNegative val="0"/>
            <c:bubble3D val="0"/>
            <c:spPr>
              <a:solidFill>
                <a:srgbClr val="E109A3"/>
              </a:solidFill>
              <a:ln w="12561">
                <a:solidFill>
                  <a:schemeClr val="tx1"/>
                </a:solidFill>
              </a:ln>
            </c:spPr>
          </c:dPt>
          <c:dPt>
            <c:idx val="3"/>
            <c:invertIfNegative val="0"/>
            <c:bubble3D val="0"/>
            <c:spPr>
              <a:solidFill>
                <a:srgbClr val="00B050"/>
              </a:solidFill>
              <a:ln w="12561">
                <a:solidFill>
                  <a:schemeClr val="tx1"/>
                </a:solidFill>
              </a:ln>
            </c:spPr>
          </c:dPt>
          <c:dPt>
            <c:idx val="4"/>
            <c:invertIfNegative val="0"/>
            <c:bubble3D val="0"/>
            <c:spPr>
              <a:solidFill>
                <a:srgbClr val="FFFF00"/>
              </a:solidFill>
              <a:ln w="12561">
                <a:solidFill>
                  <a:schemeClr val="tx1"/>
                </a:solidFill>
              </a:ln>
            </c:spPr>
          </c:dPt>
          <c:dPt>
            <c:idx val="5"/>
            <c:invertIfNegative val="0"/>
            <c:bubble3D val="0"/>
            <c:spPr>
              <a:solidFill>
                <a:schemeClr val="tx1">
                  <a:lumMod val="50000"/>
                  <a:lumOff val="50000"/>
                </a:schemeClr>
              </a:solidFill>
              <a:ln w="12561">
                <a:solidFill>
                  <a:schemeClr val="tx1"/>
                </a:solidFill>
              </a:ln>
            </c:spPr>
          </c:dPt>
          <c:dPt>
            <c:idx val="6"/>
            <c:invertIfNegative val="0"/>
            <c:bubble3D val="0"/>
            <c:spPr>
              <a:solidFill>
                <a:srgbClr val="FF0000"/>
              </a:solidFill>
              <a:ln w="12561">
                <a:solidFill>
                  <a:schemeClr val="tx1"/>
                </a:solidFill>
              </a:ln>
            </c:spPr>
          </c:dPt>
          <c:dPt>
            <c:idx val="7"/>
            <c:invertIfNegative val="0"/>
            <c:bubble3D val="0"/>
            <c:spPr>
              <a:solidFill>
                <a:schemeClr val="accent2">
                  <a:lumMod val="75000"/>
                </a:schemeClr>
              </a:solidFill>
              <a:ln w="12561">
                <a:solidFill>
                  <a:schemeClr val="tx1"/>
                </a:solidFill>
              </a:ln>
            </c:spPr>
          </c:dPt>
          <c:dPt>
            <c:idx val="8"/>
            <c:invertIfNegative val="0"/>
            <c:bubble3D val="0"/>
            <c:spPr>
              <a:solidFill>
                <a:schemeClr val="tx2">
                  <a:lumMod val="60000"/>
                  <a:lumOff val="40000"/>
                </a:schemeClr>
              </a:solidFill>
              <a:ln w="12561">
                <a:solidFill>
                  <a:schemeClr val="tx1"/>
                </a:solidFill>
              </a:ln>
            </c:spPr>
          </c:dPt>
          <c:dLbls>
            <c:spPr>
              <a:noFill/>
              <a:ln w="25121">
                <a:noFill/>
              </a:ln>
            </c:spPr>
            <c:txPr>
              <a:bodyPr/>
              <a:lstStyle/>
              <a:p>
                <a:pPr>
                  <a:defRPr b="1"/>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Hárok1!$A$2:$A$10</c:f>
              <c:strCache>
                <c:ptCount val="9"/>
                <c:pt idx="0">
                  <c:v>Hungary</c:v>
                </c:pt>
                <c:pt idx="1">
                  <c:v>Poland </c:v>
                </c:pt>
                <c:pt idx="2">
                  <c:v>Russian Federation</c:v>
                </c:pt>
                <c:pt idx="3">
                  <c:v>Romania</c:v>
                </c:pt>
                <c:pt idx="4">
                  <c:v>United Kingdom</c:v>
                </c:pt>
                <c:pt idx="5">
                  <c:v>Austria</c:v>
                </c:pt>
                <c:pt idx="6">
                  <c:v>Bulgaria</c:v>
                </c:pt>
                <c:pt idx="7">
                  <c:v>Ukraine</c:v>
                </c:pt>
                <c:pt idx="8">
                  <c:v>Italy</c:v>
                </c:pt>
              </c:strCache>
            </c:strRef>
          </c:cat>
          <c:val>
            <c:numRef>
              <c:f>Hárok1!$B$2:$B$10</c:f>
              <c:numCache>
                <c:formatCode>General</c:formatCode>
                <c:ptCount val="9"/>
                <c:pt idx="0">
                  <c:v>78</c:v>
                </c:pt>
                <c:pt idx="1">
                  <c:v>14</c:v>
                </c:pt>
                <c:pt idx="2">
                  <c:v>10</c:v>
                </c:pt>
                <c:pt idx="3">
                  <c:v>8</c:v>
                </c:pt>
                <c:pt idx="4">
                  <c:v>6</c:v>
                </c:pt>
                <c:pt idx="5">
                  <c:v>4</c:v>
                </c:pt>
                <c:pt idx="6">
                  <c:v>4</c:v>
                </c:pt>
                <c:pt idx="7">
                  <c:v>4</c:v>
                </c:pt>
                <c:pt idx="8">
                  <c:v>3</c:v>
                </c:pt>
              </c:numCache>
            </c:numRef>
          </c:val>
        </c:ser>
        <c:dLbls>
          <c:showLegendKey val="0"/>
          <c:showVal val="0"/>
          <c:showCatName val="0"/>
          <c:showSerName val="0"/>
          <c:showPercent val="0"/>
          <c:showBubbleSize val="0"/>
        </c:dLbls>
        <c:gapWidth val="150"/>
        <c:axId val="121889272"/>
        <c:axId val="121889664"/>
      </c:barChart>
      <c:catAx>
        <c:axId val="121889272"/>
        <c:scaling>
          <c:orientation val="minMax"/>
        </c:scaling>
        <c:delete val="0"/>
        <c:axPos val="b"/>
        <c:numFmt formatCode="General" sourceLinked="1"/>
        <c:majorTickMark val="out"/>
        <c:minorTickMark val="none"/>
        <c:tickLblPos val="nextTo"/>
        <c:txPr>
          <a:bodyPr/>
          <a:lstStyle/>
          <a:p>
            <a:pPr>
              <a:defRPr b="1"/>
            </a:pPr>
            <a:endParaRPr lang="sk-SK"/>
          </a:p>
        </c:txPr>
        <c:crossAx val="121889664"/>
        <c:crosses val="autoZero"/>
        <c:auto val="1"/>
        <c:lblAlgn val="ctr"/>
        <c:lblOffset val="100"/>
        <c:noMultiLvlLbl val="0"/>
      </c:catAx>
      <c:valAx>
        <c:axId val="121889664"/>
        <c:scaling>
          <c:orientation val="minMax"/>
        </c:scaling>
        <c:delete val="0"/>
        <c:axPos val="l"/>
        <c:majorGridlines/>
        <c:numFmt formatCode="General" sourceLinked="1"/>
        <c:majorTickMark val="out"/>
        <c:minorTickMark val="none"/>
        <c:tickLblPos val="nextTo"/>
        <c:crossAx val="121889272"/>
        <c:crosses val="autoZero"/>
        <c:crossBetween val="between"/>
      </c:valAx>
      <c:spPr>
        <a:noFill/>
        <a:ln w="25121">
          <a:noFill/>
        </a:ln>
      </c:spPr>
    </c:plotArea>
    <c:plotVisOnly val="1"/>
    <c:dispBlanksAs val="gap"/>
    <c:showDLblsOverMax val="0"/>
  </c:chart>
  <c:spPr>
    <a:noFill/>
    <a:ln w="25121">
      <a:solidFill>
        <a:schemeClr val="bg1">
          <a:lumMod val="50000"/>
        </a:schemeClr>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4.0609341938076714E-2"/>
          <c:y val="7.0521369756201463E-2"/>
          <c:w val="0.5729317197001168"/>
          <c:h val="0.8644203775581959"/>
        </c:manualLayout>
      </c:layout>
      <c:pie3DChart>
        <c:varyColors val="1"/>
        <c:ser>
          <c:idx val="0"/>
          <c:order val="0"/>
          <c:tx>
            <c:strRef>
              <c:f>Hárok1!$B$1</c:f>
              <c:strCache>
                <c:ptCount val="1"/>
                <c:pt idx="0">
                  <c:v>Predaj</c:v>
                </c:pt>
              </c:strCache>
            </c:strRef>
          </c:tx>
          <c:dPt>
            <c:idx val="0"/>
            <c:bubble3D val="0"/>
            <c:spPr>
              <a:solidFill>
                <a:srgbClr val="00B0F0"/>
              </a:solidFill>
              <a:ln>
                <a:solidFill>
                  <a:schemeClr val="tx1"/>
                </a:solidFill>
              </a:ln>
            </c:spPr>
          </c:dPt>
          <c:dPt>
            <c:idx val="1"/>
            <c:bubble3D val="0"/>
            <c:spPr>
              <a:solidFill>
                <a:srgbClr val="FF0000"/>
              </a:solidFill>
              <a:ln>
                <a:solidFill>
                  <a:schemeClr val="tx1"/>
                </a:solidFill>
              </a:ln>
            </c:spPr>
          </c:dPt>
          <c:dPt>
            <c:idx val="2"/>
            <c:bubble3D val="0"/>
            <c:spPr>
              <a:solidFill>
                <a:srgbClr val="FFFF00"/>
              </a:solidFill>
              <a:ln>
                <a:solidFill>
                  <a:schemeClr val="tx1"/>
                </a:solidFill>
              </a:ln>
            </c:spPr>
          </c:dPt>
          <c:dPt>
            <c:idx val="3"/>
            <c:bubble3D val="0"/>
            <c:spPr>
              <a:solidFill>
                <a:schemeClr val="accent5">
                  <a:lumMod val="50000"/>
                </a:schemeClr>
              </a:solidFill>
              <a:ln>
                <a:solidFill>
                  <a:schemeClr val="tx1"/>
                </a:solidFill>
              </a:ln>
            </c:spPr>
          </c:dPt>
          <c:dLbls>
            <c:dLbl>
              <c:idx val="0"/>
              <c:spPr>
                <a:noFill/>
                <a:ln w="25363">
                  <a:noFill/>
                </a:ln>
              </c:spPr>
              <c:txPr>
                <a:bodyPr/>
                <a:lstStyle/>
                <a:p>
                  <a:pPr>
                    <a:defRPr sz="999" b="1"/>
                  </a:pPr>
                  <a:endParaRPr lang="sk-SK"/>
                </a:p>
              </c:txPr>
              <c:dLblPos val="bestFit"/>
              <c:showLegendKey val="0"/>
              <c:showVal val="1"/>
              <c:showCatName val="0"/>
              <c:showSerName val="0"/>
              <c:showPercent val="0"/>
              <c:showBubbleSize val="0"/>
              <c:extLst>
                <c:ext xmlns:c15="http://schemas.microsoft.com/office/drawing/2012/chart" uri="{CE6537A1-D6FC-4f65-9D91-7224C49458BB}"/>
              </c:extLst>
            </c:dLbl>
            <c:dLbl>
              <c:idx val="1"/>
              <c:spPr>
                <a:noFill/>
                <a:ln w="25363">
                  <a:noFill/>
                </a:ln>
              </c:spPr>
              <c:txPr>
                <a:bodyPr/>
                <a:lstStyle/>
                <a:p>
                  <a:pPr>
                    <a:defRPr sz="999" b="1"/>
                  </a:pPr>
                  <a:endParaRPr lang="sk-SK"/>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3.7298410878908485E-2"/>
                  <c:y val="7.4145399448706767E-2"/>
                </c:manualLayout>
              </c:layout>
              <c:spPr>
                <a:noFill/>
                <a:ln w="25363">
                  <a:noFill/>
                </a:ln>
              </c:spPr>
              <c:txPr>
                <a:bodyPr/>
                <a:lstStyle/>
                <a:p>
                  <a:pPr>
                    <a:defRPr sz="999" b="1"/>
                  </a:pPr>
                  <a:endParaRPr lang="sk-SK"/>
                </a:p>
              </c:txPr>
              <c:dLblPos val="bestFit"/>
              <c:showLegendKey val="0"/>
              <c:showVal val="1"/>
              <c:showCatName val="0"/>
              <c:showSerName val="0"/>
              <c:showPercent val="0"/>
              <c:showBubbleSize val="0"/>
              <c:extLst>
                <c:ext xmlns:c15="http://schemas.microsoft.com/office/drawing/2012/chart" uri="{CE6537A1-D6FC-4f65-9D91-7224C49458BB}"/>
              </c:extLst>
            </c:dLbl>
            <c:dLbl>
              <c:idx val="3"/>
              <c:spPr>
                <a:noFill/>
                <a:ln w="25363">
                  <a:noFill/>
                </a:ln>
              </c:spPr>
              <c:txPr>
                <a:bodyPr/>
                <a:lstStyle/>
                <a:p>
                  <a:pPr>
                    <a:defRPr sz="999" b="1"/>
                  </a:pPr>
                  <a:endParaRPr lang="sk-SK"/>
                </a:p>
              </c:tx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Hárok1!$A$2:$A$5</c:f>
              <c:strCache>
                <c:ptCount val="4"/>
                <c:pt idx="0">
                  <c:v>from the year 2012 remained in examination</c:v>
                </c:pt>
                <c:pt idx="1">
                  <c:v>notifications received from Slovak citizens</c:v>
                </c:pt>
                <c:pt idx="2">
                  <c:v>own stimulus (from Financial police departments)</c:v>
                </c:pt>
                <c:pt idx="3">
                  <c:v>notifications received from public authorities</c:v>
                </c:pt>
              </c:strCache>
            </c:strRef>
          </c:cat>
          <c:val>
            <c:numRef>
              <c:f>Hárok1!$B$2:$B$5</c:f>
              <c:numCache>
                <c:formatCode>General</c:formatCode>
                <c:ptCount val="4"/>
                <c:pt idx="0">
                  <c:v>52</c:v>
                </c:pt>
                <c:pt idx="1">
                  <c:v>11</c:v>
                </c:pt>
                <c:pt idx="2">
                  <c:v>12</c:v>
                </c:pt>
                <c:pt idx="3">
                  <c:v>1</c:v>
                </c:pt>
              </c:numCache>
            </c:numRef>
          </c:val>
        </c:ser>
        <c:dLbls>
          <c:showLegendKey val="0"/>
          <c:showVal val="0"/>
          <c:showCatName val="0"/>
          <c:showSerName val="0"/>
          <c:showPercent val="0"/>
          <c:showBubbleSize val="0"/>
          <c:showLeaderLines val="1"/>
        </c:dLbls>
      </c:pie3DChart>
      <c:spPr>
        <a:noFill/>
        <a:ln w="25363">
          <a:noFill/>
        </a:ln>
      </c:spPr>
    </c:plotArea>
    <c:legend>
      <c:legendPos val="r"/>
      <c:overlay val="0"/>
    </c:legend>
    <c:plotVisOnly val="1"/>
    <c:dispBlanksAs val="zero"/>
    <c:showDLblsOverMax val="0"/>
  </c:chart>
  <c:spPr>
    <a:noFill/>
    <a:ln w="25363" cmpd="sng">
      <a:solidFill>
        <a:schemeClr val="bg1">
          <a:lumMod val="50000"/>
        </a:schemeClr>
      </a:solidFill>
    </a:ln>
    <a:scene3d>
      <a:camera prst="orthographicFront"/>
      <a:lightRig rig="threePt" dir="t"/>
    </a:scene3d>
    <a:sp3d prstMaterial="matte"/>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42625400991544"/>
          <c:y val="0.11806555430571179"/>
          <c:w val="0.80665242504456491"/>
          <c:h val="0.78252312210973629"/>
        </c:manualLayout>
      </c:layout>
      <c:barChart>
        <c:barDir val="col"/>
        <c:grouping val="clustered"/>
        <c:varyColors val="0"/>
        <c:ser>
          <c:idx val="0"/>
          <c:order val="0"/>
          <c:tx>
            <c:strRef>
              <c:f>Hárok1!$B$1</c:f>
              <c:strCache>
                <c:ptCount val="1"/>
                <c:pt idx="0">
                  <c:v>VÝŠKA PREPRAVOVANÝCH PEŇAŽNÝCH PROSTRIEDKOV</c:v>
                </c:pt>
              </c:strCache>
            </c:strRef>
          </c:tx>
          <c:spPr>
            <a:solidFill>
              <a:srgbClr val="FFFF00"/>
            </a:solidFill>
            <a:ln>
              <a:solidFill>
                <a:schemeClr val="tx1"/>
              </a:solidFill>
            </a:ln>
          </c:spPr>
          <c:invertIfNegative val="0"/>
          <c:dPt>
            <c:idx val="0"/>
            <c:invertIfNegative val="0"/>
            <c:bubble3D val="0"/>
            <c:spPr>
              <a:solidFill>
                <a:srgbClr val="FF0000"/>
              </a:solidFill>
              <a:ln>
                <a:solidFill>
                  <a:schemeClr val="tx1"/>
                </a:solidFill>
              </a:ln>
            </c:spPr>
          </c:dPt>
          <c:dPt>
            <c:idx val="1"/>
            <c:invertIfNegative val="0"/>
            <c:bubble3D val="0"/>
            <c:spPr>
              <a:solidFill>
                <a:srgbClr val="00B0F0"/>
              </a:solidFill>
              <a:ln>
                <a:solidFill>
                  <a:schemeClr val="tx1"/>
                </a:solidFill>
              </a:ln>
            </c:spPr>
          </c:dPt>
          <c:dPt>
            <c:idx val="3"/>
            <c:invertIfNegative val="0"/>
            <c:bubble3D val="0"/>
            <c:spPr>
              <a:solidFill>
                <a:srgbClr val="B80EA4"/>
              </a:solidFill>
              <a:ln>
                <a:solidFill>
                  <a:schemeClr val="tx1"/>
                </a:solidFill>
              </a:ln>
            </c:spPr>
          </c:dPt>
          <c:dPt>
            <c:idx val="4"/>
            <c:invertIfNegative val="0"/>
            <c:bubble3D val="0"/>
            <c:spPr>
              <a:solidFill>
                <a:srgbClr val="92D050"/>
              </a:solidFill>
              <a:ln>
                <a:solidFill>
                  <a:schemeClr val="tx1"/>
                </a:solidFill>
              </a:ln>
            </c:spPr>
          </c:dPt>
          <c:dLbls>
            <c:spPr>
              <a:noFill/>
              <a:ln w="19050">
                <a:noFill/>
              </a:ln>
            </c:spPr>
            <c:txPr>
              <a:bodyPr/>
              <a:lstStyle/>
              <a:p>
                <a:pPr>
                  <a:defRPr sz="900" b="1">
                    <a:solidFill>
                      <a:sysClr val="windowText" lastClr="000000"/>
                    </a:solidFil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Hárok1!$A$2:$A$6</c:f>
              <c:numCache>
                <c:formatCode>General</c:formatCode>
                <c:ptCount val="5"/>
                <c:pt idx="0">
                  <c:v>2009</c:v>
                </c:pt>
                <c:pt idx="1">
                  <c:v>2010</c:v>
                </c:pt>
                <c:pt idx="2">
                  <c:v>2011</c:v>
                </c:pt>
                <c:pt idx="3">
                  <c:v>2012</c:v>
                </c:pt>
                <c:pt idx="4">
                  <c:v>2013</c:v>
                </c:pt>
              </c:numCache>
            </c:numRef>
          </c:cat>
          <c:val>
            <c:numRef>
              <c:f>Hárok1!$B$2:$B$6</c:f>
              <c:numCache>
                <c:formatCode>General</c:formatCode>
                <c:ptCount val="5"/>
                <c:pt idx="0">
                  <c:v>125400</c:v>
                </c:pt>
                <c:pt idx="1">
                  <c:v>1241178</c:v>
                </c:pt>
                <c:pt idx="2">
                  <c:v>312637</c:v>
                </c:pt>
                <c:pt idx="3">
                  <c:v>1649419.3800000001</c:v>
                </c:pt>
                <c:pt idx="4">
                  <c:v>1942132.56</c:v>
                </c:pt>
              </c:numCache>
            </c:numRef>
          </c:val>
        </c:ser>
        <c:dLbls>
          <c:showLegendKey val="0"/>
          <c:showVal val="0"/>
          <c:showCatName val="0"/>
          <c:showSerName val="0"/>
          <c:showPercent val="0"/>
          <c:showBubbleSize val="0"/>
        </c:dLbls>
        <c:gapWidth val="150"/>
        <c:axId val="121890840"/>
        <c:axId val="121891232"/>
      </c:barChart>
      <c:catAx>
        <c:axId val="121890840"/>
        <c:scaling>
          <c:orientation val="minMax"/>
        </c:scaling>
        <c:delete val="0"/>
        <c:axPos val="b"/>
        <c:numFmt formatCode="General" sourceLinked="1"/>
        <c:majorTickMark val="out"/>
        <c:minorTickMark val="none"/>
        <c:tickLblPos val="nextTo"/>
        <c:txPr>
          <a:bodyPr/>
          <a:lstStyle/>
          <a:p>
            <a:pPr>
              <a:defRPr b="1"/>
            </a:pPr>
            <a:endParaRPr lang="sk-SK"/>
          </a:p>
        </c:txPr>
        <c:crossAx val="121891232"/>
        <c:crosses val="autoZero"/>
        <c:auto val="1"/>
        <c:lblAlgn val="ctr"/>
        <c:lblOffset val="100"/>
        <c:noMultiLvlLbl val="0"/>
      </c:catAx>
      <c:valAx>
        <c:axId val="121891232"/>
        <c:scaling>
          <c:orientation val="minMax"/>
        </c:scaling>
        <c:delete val="0"/>
        <c:axPos val="l"/>
        <c:majorGridlines/>
        <c:numFmt formatCode="General" sourceLinked="1"/>
        <c:majorTickMark val="out"/>
        <c:minorTickMark val="none"/>
        <c:tickLblPos val="nextTo"/>
        <c:crossAx val="121890840"/>
        <c:crosses val="autoZero"/>
        <c:crossBetween val="between"/>
      </c:valAx>
      <c:spPr>
        <a:noFill/>
        <a:ln w="19050">
          <a:noFill/>
        </a:ln>
      </c:spPr>
    </c:plotArea>
    <c:plotVisOnly val="1"/>
    <c:dispBlanksAs val="gap"/>
    <c:showDLblsOverMax val="0"/>
  </c:chart>
  <c:spPr>
    <a:noFill/>
    <a:ln w="19050">
      <a:solidFill>
        <a:schemeClr val="bg1">
          <a:lumMod val="95000"/>
        </a:schemeClr>
      </a:solidFill>
    </a:ln>
    <a:effectLst/>
    <a:scene3d>
      <a:camera prst="orthographicFront"/>
      <a:lightRig rig="threePt" dir="t"/>
    </a:scene3d>
    <a:sp3d prstMaterial="matte"/>
  </c:sp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264</TotalTime>
  <Pages>25</Pages>
  <Words>8126</Words>
  <Characters>46324</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Gavor</dc:creator>
  <cp:lastModifiedBy>Internet</cp:lastModifiedBy>
  <cp:revision>33</cp:revision>
  <cp:lastPrinted>2014-08-22T05:28:00Z</cp:lastPrinted>
  <dcterms:created xsi:type="dcterms:W3CDTF">2014-05-13T08:11:00Z</dcterms:created>
  <dcterms:modified xsi:type="dcterms:W3CDTF">2014-09-10T11:03:00Z</dcterms:modified>
</cp:coreProperties>
</file>